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jc w:val="left"/>
        <w:keepNext/>
        <w:pageBreakBefore w:val="0"/>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103"/>
        <w:ind w:firstLine="0"/>
        <w:jc w:val="center"/>
        <w:keepNext/>
        <w:pageBreakBefore w:val="0"/>
        <w:rPr>
          <w:rFonts w:hint="eastAsia" w:eastAsia="黑体"/>
          <w:b/>
          <w:bCs/>
          <w:color w:val="000000"/>
          <w:sz w:val="84"/>
          <w:highlight w:val="none"/>
        </w:rPr>
      </w:pPr>
      <w:r>
        <w:rPr>
          <w:rFonts w:hint="eastAsia" w:eastAsia="黑体"/>
          <w:b/>
          <w:bCs/>
          <w:color w:val="000000"/>
          <w:sz w:val="84"/>
          <w:highlight w:val="none"/>
        </w:rPr>
        <w:t xml:space="preserve">竞争性磋商文件</w:t>
      </w:r>
      <w:r>
        <w:rPr>
          <w:rFonts w:hint="eastAsia" w:eastAsia="黑体"/>
          <w:b/>
          <w:bCs/>
          <w:color w:val="000000"/>
          <w:sz w:val="84"/>
          <w:highlight w:val="none"/>
        </w:rPr>
      </w:r>
      <w:r/>
    </w:p>
    <w:p>
      <w:pPr>
        <w:pStyle w:val="971"/>
        <w:ind w:firstLine="1606"/>
        <w:keepNext/>
        <w:pageBreakBefore w:val="0"/>
        <w:rPr>
          <w:rFonts w:hint="eastAsia" w:ascii="Arial" w:hAnsi="Arial"/>
          <w:b/>
          <w:bCs/>
          <w:color w:val="000000"/>
          <w:sz w:val="32"/>
          <w:szCs w:val="24"/>
          <w:highlight w:val="none"/>
          <w:u w:val="single"/>
        </w:rPr>
      </w:pPr>
      <w:r>
        <w:rPr>
          <w:rFonts w:hint="eastAsia" w:ascii="Arial" w:hAnsi="Arial"/>
          <w:b/>
          <w:bCs/>
          <w:color w:val="000000"/>
          <w:sz w:val="32"/>
          <w:szCs w:val="24"/>
          <w:highlight w:val="none"/>
        </w:rPr>
        <w:t xml:space="preserve">项目名称：</w:t>
      </w:r>
      <w:r>
        <w:rPr>
          <w:rFonts w:hint="eastAsia" w:ascii="Times New Roman" w:hAnsi="Times New Roman"/>
          <w:b/>
          <w:color w:val="000000"/>
          <w:sz w:val="32"/>
          <w:szCs w:val="32"/>
          <w:highlight w:val="none"/>
          <w:lang w:eastAsia="zh-CN"/>
        </w:rPr>
        <w:t xml:space="preserve">2026年龙袍街道政府购买居家养老照护服务</w:t>
      </w:r>
      <w:r>
        <w:rPr>
          <w:rFonts w:hint="eastAsia" w:ascii="Times New Roman" w:hAnsi="Times New Roman"/>
          <w:b/>
          <w:color w:val="000000"/>
          <w:sz w:val="32"/>
          <w:szCs w:val="32"/>
          <w:highlight w:val="none"/>
        </w:rPr>
        <w:t xml:space="preserve"> </w:t>
      </w:r>
      <w:r>
        <w:rPr>
          <w:rFonts w:hint="eastAsia" w:ascii="Arial" w:hAnsi="Arial"/>
          <w:b/>
          <w:bCs/>
          <w:color w:val="000000"/>
          <w:sz w:val="32"/>
          <w:szCs w:val="24"/>
          <w:highlight w:val="none"/>
          <w:u w:val="single"/>
        </w:rPr>
      </w:r>
      <w:r/>
    </w:p>
    <w:p>
      <w:pPr>
        <w:pStyle w:val="971"/>
        <w:ind w:firstLine="1606"/>
        <w:jc w:val="left"/>
        <w:keepNext/>
        <w:pageBreakBefore w:val="0"/>
        <w:spacing w:before="120" w:after="120" w:line="360" w:lineRule="auto"/>
        <w:rPr>
          <w:rFonts w:hint="eastAsia" w:eastAsia="宋体"/>
          <w:color w:val="000000"/>
          <w:highlight w:val="none"/>
          <w:lang w:eastAsia="zh-CN"/>
        </w:rPr>
      </w:pPr>
      <w:r>
        <w:rPr>
          <w:rFonts w:hint="eastAsia" w:ascii="Arial" w:hAnsi="Arial"/>
          <w:b/>
          <w:bCs/>
          <w:color w:val="000000"/>
          <w:sz w:val="32"/>
          <w:szCs w:val="24"/>
          <w:highlight w:val="none"/>
        </w:rPr>
        <w:t xml:space="preserve">项目编号：</w:t>
      </w:r>
      <w:r>
        <w:rPr>
          <w:rFonts w:hint="eastAsia" w:ascii="Arial" w:hAnsi="Arial"/>
          <w:b w:val="0"/>
          <w:bCs w:val="0"/>
          <w:color w:val="000000"/>
          <w:sz w:val="32"/>
          <w:szCs w:val="24"/>
          <w:highlight w:val="none"/>
          <w:lang w:eastAsia="zh-CN"/>
        </w:rPr>
        <w:t xml:space="preserve">JSZC-320116-NJMD-C2025-0020</w:t>
      </w:r>
      <w:r>
        <w:rPr>
          <w:rFonts w:hint="eastAsia" w:eastAsia="宋体"/>
          <w:color w:val="000000"/>
          <w:highlight w:val="none"/>
          <w:lang w:eastAsia="zh-CN"/>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03"/>
        <w:ind w:firstLine="0"/>
        <w:jc w:val="center"/>
        <w:keepNext/>
        <w:pageBreakBefore w:val="0"/>
        <w:rPr>
          <w:rFonts w:hint="eastAsia"/>
          <w:b/>
          <w:bCs/>
          <w:color w:val="000000"/>
          <w:sz w:val="32"/>
          <w:highlight w:val="none"/>
        </w:rPr>
      </w:pPr>
      <w:r>
        <w:rPr>
          <w:rFonts w:hint="eastAsia"/>
          <w:b/>
          <w:bCs/>
          <w:color w:val="000000"/>
          <w:sz w:val="32"/>
          <w:highlight w:val="none"/>
        </w:rPr>
        <w:t xml:space="preserve">采购代理机构：南京名东工程项目管理有限公司</w:t>
      </w:r>
      <w:r>
        <w:rPr>
          <w:rFonts w:hint="eastAsia"/>
          <w:b/>
          <w:bCs/>
          <w:color w:val="000000"/>
          <w:sz w:val="32"/>
          <w:highlight w:val="none"/>
        </w:rPr>
      </w:r>
      <w:r/>
    </w:p>
    <w:p>
      <w:pPr>
        <w:pStyle w:val="1103"/>
        <w:ind w:firstLine="0"/>
        <w:jc w:val="center"/>
        <w:keepNext/>
        <w:pageBreakBefore w:val="0"/>
        <w:rPr>
          <w:rFonts w:hint="eastAsia"/>
          <w:b/>
          <w:bCs/>
          <w:color w:val="000000"/>
          <w:sz w:val="32"/>
          <w:highlight w:val="none"/>
        </w:rPr>
      </w:pPr>
      <w:r>
        <w:rPr>
          <w:rFonts w:hint="eastAsia"/>
          <w:b/>
          <w:bCs/>
          <w:color w:val="000000"/>
          <w:sz w:val="32"/>
          <w:highlight w:val="none"/>
        </w:rPr>
      </w:r>
      <w:r/>
    </w:p>
    <w:p>
      <w:pPr>
        <w:pStyle w:val="1103"/>
        <w:ind w:firstLine="0"/>
        <w:jc w:val="center"/>
        <w:keepNext/>
        <w:pageBreakBefore w:val="0"/>
        <w:rPr>
          <w:rFonts w:hint="eastAsia" w:eastAsia="宋体"/>
          <w:b/>
          <w:bCs/>
          <w:color w:val="000000"/>
          <w:sz w:val="32"/>
          <w:highlight w:val="none"/>
          <w:lang w:eastAsia="zh-CN"/>
        </w:rPr>
      </w:pPr>
      <w:r>
        <w:rPr>
          <w:rFonts w:hint="eastAsia"/>
          <w:b/>
          <w:bCs/>
          <w:color w:val="000000"/>
          <w:sz w:val="32"/>
          <w:highlight w:val="none"/>
        </w:rPr>
        <w:t xml:space="preserve">采购人：</w:t>
      </w:r>
      <w:r>
        <w:rPr>
          <w:rFonts w:hint="eastAsia"/>
          <w:b/>
          <w:bCs/>
          <w:color w:val="000000"/>
          <w:sz w:val="32"/>
          <w:highlight w:val="none"/>
          <w:lang w:eastAsia="zh-CN"/>
        </w:rPr>
        <w:t xml:space="preserve">南京市六合区人民政府龙袍街道办事处</w:t>
      </w:r>
      <w:r>
        <w:rPr>
          <w:rFonts w:hint="eastAsia" w:eastAsia="宋体"/>
          <w:b/>
          <w:bCs/>
          <w:color w:val="000000"/>
          <w:sz w:val="32"/>
          <w:highlight w:val="none"/>
          <w:lang w:eastAsia="zh-CN"/>
        </w:rPr>
      </w:r>
      <w:r/>
    </w:p>
    <w:p>
      <w:pPr>
        <w:pStyle w:val="971"/>
        <w:jc w:val="center"/>
        <w:keepNext/>
        <w:pageBreakBefore w:val="0"/>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202</w:t>
      </w:r>
      <w:r>
        <w:rPr>
          <w:rFonts w:hint="eastAsia" w:ascii="Times New Roman" w:hAnsi="Times New Roman"/>
          <w:b/>
          <w:color w:val="000000"/>
          <w:sz w:val="32"/>
          <w:szCs w:val="32"/>
          <w:highlight w:val="none"/>
          <w:lang w:val="en-US" w:eastAsia="zh-CN"/>
        </w:rPr>
        <w:t xml:space="preserve">5</w:t>
      </w:r>
      <w:r>
        <w:rPr>
          <w:rFonts w:hint="eastAsia" w:ascii="Times New Roman" w:hAnsi="Times New Roman"/>
          <w:b/>
          <w:color w:val="000000"/>
          <w:sz w:val="32"/>
          <w:szCs w:val="32"/>
          <w:highlight w:val="none"/>
        </w:rPr>
        <w:t xml:space="preserve">年12月</w:t>
      </w:r>
      <w:r>
        <w:rPr>
          <w:rFonts w:hint="eastAsia" w:ascii="Times New Roman" w:hAnsi="Times New Roman"/>
          <w:b/>
          <w:color w:val="000000"/>
          <w:sz w:val="32"/>
          <w:szCs w:val="32"/>
          <w:highlight w:val="none"/>
        </w:rPr>
      </w:r>
      <w:r/>
    </w:p>
    <w:p>
      <w:pPr>
        <w:pStyle w:val="971"/>
        <w:jc w:val="left"/>
        <w:keepNext/>
        <w:pageBreakBefore w:val="0"/>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71"/>
        <w:jc w:val="center"/>
        <w:keepNext/>
        <w:pageBreakBefore w:val="0"/>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71"/>
        <w:keepNext/>
        <w:pageBreakBefore w:val="0"/>
        <w:spacing w:line="480" w:lineRule="exact"/>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r>
      <w:r/>
    </w:p>
    <w:p>
      <w:pPr>
        <w:pStyle w:val="971"/>
        <w:jc w:val="center"/>
        <w:keepNext/>
        <w:pageBreakBefore w:val="0"/>
        <w:spacing w:line="480" w:lineRule="auto"/>
        <w:rPr>
          <w:rFonts w:hint="eastAsia" w:ascii="黑体" w:hAnsi="Arial" w:eastAsia="黑体"/>
          <w:b/>
          <w:color w:val="000000"/>
          <w:sz w:val="40"/>
          <w:szCs w:val="20"/>
          <w:highlight w:val="none"/>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rPr>
          <w:rFonts w:hint="eastAsia" w:ascii="黑体" w:hAnsi="Arial" w:eastAsia="黑体"/>
          <w:b/>
          <w:color w:val="000000"/>
          <w:sz w:val="40"/>
          <w:szCs w:val="20"/>
          <w:highlight w:val="none"/>
        </w:rPr>
      </w:r>
      <w:r/>
    </w:p>
    <w:p>
      <w:pPr>
        <w:pStyle w:val="971"/>
        <w:jc w:val="center"/>
        <w:keepNext/>
        <w:pageBreakBefore w:val="0"/>
        <w:spacing w:line="480" w:lineRule="auto"/>
        <w:rPr>
          <w:rFonts w:hint="eastAsia" w:ascii="黑体" w:hAnsi="Arial" w:eastAsia="黑体"/>
          <w:b/>
          <w:color w:val="000000"/>
          <w:sz w:val="40"/>
          <w:szCs w:val="20"/>
          <w:highlight w:val="none"/>
        </w:rPr>
        <w:outlineLvl w:val="0"/>
      </w:pPr>
      <w:r>
        <w:rPr>
          <w:rFonts w:hint="eastAsia" w:ascii="黑体" w:hAnsi="Arial" w:eastAsia="黑体"/>
          <w:b/>
          <w:color w:val="000000"/>
          <w:sz w:val="40"/>
          <w:szCs w:val="20"/>
          <w:highlight w:val="none"/>
        </w:rPr>
        <w:t xml:space="preserve">总  目  录</w:t>
      </w:r>
      <w:r>
        <w:rPr>
          <w:rFonts w:hint="eastAsia" w:ascii="黑体" w:hAnsi="Arial" w:eastAsia="黑体"/>
          <w:b/>
          <w:color w:val="000000"/>
          <w:sz w:val="40"/>
          <w:szCs w:val="20"/>
          <w:highlight w:val="none"/>
        </w:rPr>
      </w:r>
      <w:r/>
    </w:p>
    <w:p>
      <w:pPr>
        <w:pStyle w:val="971"/>
        <w:keepNext/>
        <w:pageBreakBefore w:val="0"/>
        <w:spacing w:line="480" w:lineRule="auto"/>
        <w:rPr>
          <w:rFonts w:hint="eastAsia" w:ascii="仿宋_GB2312" w:hAnsi="Arial" w:eastAsia="仿宋_GB2312"/>
          <w:b/>
          <w:color w:val="000000"/>
          <w:sz w:val="24"/>
          <w:szCs w:val="20"/>
          <w:highlight w:val="none"/>
        </w:rPr>
      </w:pPr>
      <w:r/>
      <w:bookmarkStart w:id="0" w:name="_Toc513029200"/>
      <w:r/>
      <w:bookmarkStart w:id="1" w:name="_Toc16938516"/>
      <w:r/>
      <w:bookmarkStart w:id="2" w:name="_Toc120614210"/>
      <w:r/>
      <w:bookmarkStart w:id="3" w:name="_Toc479757206"/>
      <w:r/>
      <w:bookmarkStart w:id="4" w:name="_Toc20823272"/>
      <w:r/>
      <w:bookmarkStart w:id="5" w:name="_Toc523127445"/>
      <w:r>
        <w:rPr>
          <w:rFonts w:hint="eastAsia" w:ascii="仿宋_GB2312" w:hAnsi="Arial" w:eastAsia="仿宋_GB2312"/>
          <w:b/>
          <w:color w:val="000000"/>
          <w:sz w:val="24"/>
          <w:szCs w:val="20"/>
          <w:highlight w:val="none"/>
        </w:rPr>
      </w:r>
      <w:r/>
    </w:p>
    <w:p>
      <w:pPr>
        <w:pStyle w:val="971"/>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磋商邀请</w:t>
      </w:r>
      <w:r>
        <w:rPr>
          <w:rFonts w:hint="eastAsia" w:ascii="黑体" w:hAnsi="宋体" w:eastAsia="黑体"/>
          <w:color w:val="000000"/>
          <w:sz w:val="32"/>
          <w:szCs w:val="20"/>
          <w:highlight w:val="none"/>
        </w:rPr>
      </w:r>
      <w:r/>
    </w:p>
    <w:p>
      <w:pPr>
        <w:pStyle w:val="971"/>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供应商须知</w:t>
      </w:r>
      <w:r>
        <w:rPr>
          <w:rFonts w:hint="eastAsia" w:ascii="黑体" w:hAnsi="宋体" w:eastAsia="黑体"/>
          <w:color w:val="000000"/>
          <w:sz w:val="32"/>
          <w:szCs w:val="20"/>
          <w:highlight w:val="none"/>
        </w:rPr>
      </w:r>
      <w:r/>
    </w:p>
    <w:p>
      <w:pPr>
        <w:pStyle w:val="971"/>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合同文本</w:t>
      </w:r>
      <w:r>
        <w:rPr>
          <w:rFonts w:hint="eastAsia" w:ascii="黑体" w:hAnsi="宋体" w:eastAsia="黑体"/>
          <w:color w:val="000000"/>
          <w:sz w:val="32"/>
          <w:szCs w:val="20"/>
          <w:highlight w:val="none"/>
        </w:rPr>
      </w:r>
      <w:r/>
    </w:p>
    <w:p>
      <w:pPr>
        <w:pStyle w:val="971"/>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采购需求</w:t>
      </w:r>
      <w:r>
        <w:rPr>
          <w:rFonts w:hint="eastAsia" w:ascii="黑体" w:hAnsi="宋体" w:eastAsia="黑体"/>
          <w:color w:val="000000"/>
          <w:sz w:val="32"/>
          <w:szCs w:val="20"/>
          <w:highlight w:val="none"/>
        </w:rPr>
      </w:r>
      <w:r/>
    </w:p>
    <w:p>
      <w:pPr>
        <w:pStyle w:val="971"/>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评审方法与评审标准</w:t>
      </w:r>
      <w:r>
        <w:rPr>
          <w:rFonts w:hint="eastAsia" w:ascii="黑体" w:hAnsi="宋体" w:eastAsia="黑体"/>
          <w:color w:val="000000"/>
          <w:sz w:val="32"/>
          <w:szCs w:val="20"/>
          <w:highlight w:val="none"/>
        </w:rPr>
      </w:r>
      <w:r/>
    </w:p>
    <w:p>
      <w:pPr>
        <w:pStyle w:val="971"/>
        <w:numPr>
          <w:ilvl w:val="0"/>
          <w:numId w:val="4"/>
        </w:numPr>
        <w:ind w:left="3540"/>
        <w:jc w:val="left"/>
        <w:keepNext/>
        <w:pageBreakBefore w:val="0"/>
        <w:spacing w:line="960" w:lineRule="auto"/>
        <w:tabs>
          <w:tab w:val="left" w:pos="1440" w:leader="none"/>
        </w:tabs>
        <w:rPr>
          <w:rFonts w:hint="eastAsia" w:ascii="黑体" w:hAnsi="宋体" w:eastAsia="黑体"/>
          <w:color w:val="000000"/>
          <w:sz w:val="32"/>
          <w:szCs w:val="20"/>
          <w:highlight w:val="none"/>
        </w:rPr>
        <w:outlineLvl w:val="0"/>
      </w:pPr>
      <w:r>
        <w:rPr>
          <w:rFonts w:hint="eastAsia" w:ascii="黑体" w:hAnsi="宋体" w:eastAsia="黑体"/>
          <w:color w:val="000000"/>
          <w:sz w:val="32"/>
          <w:szCs w:val="20"/>
          <w:highlight w:val="none"/>
        </w:rPr>
        <w:t xml:space="preserve">响应文件格式</w:t>
      </w:r>
      <w:r>
        <w:rPr>
          <w:rFonts w:hint="eastAsia" w:ascii="黑体" w:hAnsi="宋体" w:eastAsia="黑体"/>
          <w:color w:val="000000"/>
          <w:sz w:val="32"/>
          <w:szCs w:val="20"/>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keepNext/>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第一章  磋商邀请</w:t>
      </w:r>
      <w:r>
        <w:rPr>
          <w:rFonts w:hint="eastAsia" w:ascii="方正小标宋简体" w:hAnsi="方正小标宋简体" w:eastAsia="方正小标宋简体" w:cs="方正小标宋简体"/>
          <w:color w:val="000000"/>
          <w:sz w:val="36"/>
          <w:szCs w:val="36"/>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2026年龙袍街道政府购买居家养老照护服务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JSZC-320116-NJMD-C2025-0020</w:t>
      </w:r>
      <w:r>
        <w:rPr>
          <w:rFonts w:hint="eastAsia" w:ascii="宋体" w:hAnsi="宋体"/>
          <w:color w:val="000000"/>
          <w:sz w:val="24"/>
          <w:szCs w:val="24"/>
          <w:highlight w:val="none"/>
        </w:rPr>
        <w:t xml:space="preserve"> 采购项目的潜在供应商应在“江苏政府采购网、南京公共采购信息网”获取采购文件，并于202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12</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22</w:t>
      </w:r>
      <w:r>
        <w:rPr>
          <w:rFonts w:hint="eastAsia" w:ascii="宋体" w:hAnsi="宋体"/>
          <w:color w:val="000000"/>
          <w:sz w:val="24"/>
          <w:szCs w:val="24"/>
          <w:highlight w:val="none"/>
        </w:rPr>
        <w:t xml:space="preserve"> 09:00（北京时间）前提交响应文件。</w:t>
      </w:r>
      <w:r>
        <w:rPr>
          <w:rFonts w:hint="eastAsia" w:ascii="宋体" w:hAnsi="宋体"/>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71"/>
        <w:ind w:firstLine="480"/>
        <w:keepNext/>
        <w:pageBreakBefore w:val="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JSZC-320116-NJMD-C2025-0020</w:t>
      </w:r>
      <w:r>
        <w:rPr>
          <w:rFonts w:hint="eastAsia" w:ascii="宋体" w:hAnsi="宋体" w:eastAsia="宋体"/>
          <w:color w:val="000000"/>
          <w:sz w:val="24"/>
          <w:szCs w:val="24"/>
          <w:highlight w:val="none"/>
          <w:lang w:eastAsia="zh-CN"/>
        </w:rPr>
      </w:r>
      <w:r/>
    </w:p>
    <w:p>
      <w:pPr>
        <w:pStyle w:val="971"/>
        <w:ind w:firstLine="480"/>
        <w:keepNext/>
        <w:pageBreakBefore w:val="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2026年龙袍街道政府购买居家养老照护服务</w:t>
      </w:r>
      <w:r>
        <w:rPr>
          <w:rFonts w:hint="eastAsia" w:ascii="宋体" w:hAnsi="宋体" w:eastAsia="宋体"/>
          <w:color w:val="000000"/>
          <w:sz w:val="24"/>
          <w:szCs w:val="24"/>
          <w:highlight w:val="none"/>
          <w:lang w:eastAsia="zh-CN"/>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971"/>
        <w:ind w:firstLine="480"/>
        <w:keepNext/>
        <w:pageBreakBefore w:val="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4.最高限价：</w:t>
      </w:r>
      <w:r>
        <w:rPr>
          <w:rFonts w:hint="eastAsia" w:ascii="宋体" w:hAnsi="宋体"/>
          <w:color w:val="000000"/>
          <w:sz w:val="24"/>
          <w:szCs w:val="24"/>
          <w:highlight w:val="none"/>
          <w:lang w:val="en-US" w:eastAsia="zh-CN"/>
        </w:rPr>
        <w:fldChar w:fldCharType="begin"/>
      </w:r>
      <w:r>
        <w:rPr>
          <w:rFonts w:hint="eastAsia" w:ascii="宋体" w:hAnsi="宋体"/>
          <w:color w:val="000000"/>
          <w:sz w:val="24"/>
          <w:szCs w:val="24"/>
          <w:highlight w:val="none"/>
          <w:lang w:val="en-US" w:eastAsia="zh-CN"/>
        </w:rPr>
        <w:instrText xml:space="preserve"> = sum(E2:E3) \* MERGEFORMAT </w:instrText>
      </w:r>
      <w:r>
        <w:rPr>
          <w:rFonts w:hint="eastAsia" w:ascii="宋体" w:hAnsi="宋体"/>
          <w:color w:val="000000"/>
          <w:sz w:val="24"/>
          <w:szCs w:val="24"/>
          <w:highlight w:val="none"/>
          <w:lang w:val="en-US" w:eastAsia="zh-CN"/>
        </w:rPr>
        <w:fldChar w:fldCharType="separate"/>
      </w:r>
      <w:r>
        <w:rPr>
          <w:rFonts w:hint="eastAsia" w:ascii="宋体" w:hAnsi="宋体"/>
          <w:color w:val="000000"/>
          <w:sz w:val="24"/>
          <w:szCs w:val="24"/>
          <w:highlight w:val="none"/>
          <w:lang w:val="en-US" w:eastAsia="zh-CN"/>
        </w:rPr>
        <w:t xml:space="preserve">195.69888</w:t>
      </w:r>
      <w:r>
        <w:rPr>
          <w:rFonts w:hint="eastAsia" w:ascii="宋体" w:hAnsi="宋体"/>
          <w:color w:val="000000"/>
          <w:sz w:val="24"/>
          <w:szCs w:val="24"/>
          <w:highlight w:val="none"/>
          <w:lang w:val="en-US" w:eastAsia="zh-CN"/>
        </w:rPr>
        <w:fldChar w:fldCharType="end"/>
      </w:r>
      <w:r>
        <w:rPr>
          <w:rFonts w:hint="eastAsia" w:ascii="宋体" w:hAnsi="宋体"/>
          <w:color w:val="000000"/>
          <w:sz w:val="24"/>
          <w:szCs w:val="24"/>
          <w:highlight w:val="none"/>
          <w:lang w:val="en-US" w:eastAsia="zh-CN"/>
        </w:rPr>
        <w:t xml:space="preserve">万元</w:t>
      </w:r>
      <w:r>
        <w:rPr>
          <w:rFonts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.采购需求（简介）：对辖区内80周岁及以上老人和失能、半失能的政府养老扶助对象进行居家养老照护服务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（详细内容见本磋商文件第四章）</w:t>
      </w:r>
      <w:r>
        <w:rPr>
          <w:rFonts w:hint="eastAsia" w:ascii="宋体" w:hAnsi="宋体"/>
          <w:color w:val="000000"/>
          <w:sz w:val="24"/>
          <w:szCs w:val="24"/>
          <w:highlight w:val="none"/>
        </w:rPr>
      </w:r>
      <w:r/>
    </w:p>
    <w:p>
      <w:pPr>
        <w:pStyle w:val="971"/>
        <w:ind w:firstLine="482"/>
        <w:keepNext/>
        <w:pageBreakBefore w:val="0"/>
        <w:spacing w:line="264"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本项目共有</w:t>
      </w:r>
      <w:r>
        <w:rPr>
          <w:rFonts w:hint="eastAsia" w:ascii="宋体" w:hAnsi="宋体"/>
          <w:b/>
          <w:bCs/>
          <w:color w:val="000000"/>
          <w:sz w:val="24"/>
          <w:szCs w:val="24"/>
          <w:highlight w:val="none"/>
          <w:lang w:val="en-US" w:eastAsia="zh-CN"/>
        </w:rPr>
        <w:t xml:space="preserve">2个分包：同一供应商只能成交1个分包不可兼中。</w:t>
      </w:r>
      <w:r>
        <w:rPr>
          <w:rFonts w:hint="eastAsia" w:ascii="宋体" w:hAnsi="宋体"/>
          <w:b/>
          <w:bCs/>
          <w:color w:val="000000"/>
          <w:sz w:val="24"/>
          <w:szCs w:val="24"/>
          <w:highlight w:val="none"/>
          <w:lang w:val="en-US" w:eastAsia="zh-CN"/>
        </w:rPr>
      </w:r>
      <w:r/>
    </w:p>
    <w:tbl>
      <w:tblPr>
        <w:tblStyle w:val="1045"/>
        <w:tblW w:w="9025" w:type="dxa"/>
        <w:jc w:val="center"/>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70"/>
        <w:gridCol w:w="3780"/>
        <w:gridCol w:w="1335"/>
        <w:gridCol w:w="1834"/>
      </w:tblGrid>
      <w:tr>
        <w:trPr>
          <w:trHeight w:val="599"/>
        </w:trPr>
        <w:tc>
          <w:tcPr>
            <w:shd w:val="clear" w:color="auto" w:fill="bebebe"/>
            <w:tcW w:w="906"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分包号</w:t>
            </w:r>
            <w:r>
              <w:rPr>
                <w:rFonts w:hint="eastAsia" w:ascii="宋体" w:hAnsi="宋体" w:eastAsia="宋体" w:cs="宋体"/>
                <w:b/>
                <w:bCs/>
                <w:color w:val="000000"/>
                <w:sz w:val="21"/>
                <w:szCs w:val="21"/>
                <w:highlight w:val="none"/>
                <w:lang w:val="zh-CN"/>
              </w:rPr>
            </w:r>
            <w:r/>
          </w:p>
        </w:tc>
        <w:tc>
          <w:tcPr>
            <w:shd w:val="clear" w:color="auto" w:fill="bebebe"/>
            <w:tcW w:w="117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实施区域</w:t>
            </w:r>
            <w:r>
              <w:rPr>
                <w:rFonts w:hint="eastAsia" w:ascii="宋体" w:hAnsi="宋体" w:eastAsia="宋体" w:cs="宋体"/>
                <w:b/>
                <w:bCs/>
                <w:color w:val="000000"/>
                <w:sz w:val="21"/>
                <w:szCs w:val="21"/>
                <w:highlight w:val="none"/>
                <w:lang w:val="zh-CN"/>
              </w:rPr>
            </w:r>
            <w:r/>
          </w:p>
        </w:tc>
        <w:tc>
          <w:tcPr>
            <w:shd w:val="clear" w:color="auto" w:fill="bebebe"/>
            <w:tcW w:w="378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服务社区</w:t>
            </w:r>
            <w:r>
              <w:rPr>
                <w:rFonts w:hint="eastAsia" w:ascii="宋体" w:hAnsi="宋体" w:eastAsia="宋体" w:cs="宋体"/>
                <w:b/>
                <w:bCs/>
                <w:color w:val="000000"/>
                <w:sz w:val="21"/>
                <w:szCs w:val="21"/>
                <w:highlight w:val="none"/>
                <w:lang w:val="zh-CN"/>
              </w:rPr>
            </w:r>
            <w:r/>
          </w:p>
        </w:tc>
        <w:tc>
          <w:tcPr>
            <w:shd w:val="clear" w:color="auto" w:fill="bebebe"/>
            <w:tcW w:w="1335"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服务人数</w:t>
            </w:r>
            <w:r>
              <w:rPr>
                <w:rFonts w:hint="eastAsia" w:ascii="宋体" w:hAnsi="宋体" w:eastAsia="宋体" w:cs="宋体"/>
                <w:b/>
                <w:bCs/>
                <w:color w:val="000000"/>
                <w:sz w:val="21"/>
                <w:szCs w:val="21"/>
                <w:highlight w:val="none"/>
                <w:lang w:val="zh-CN"/>
              </w:rPr>
            </w:r>
            <w:r/>
          </w:p>
        </w:tc>
        <w:tc>
          <w:tcPr>
            <w:shd w:val="clear" w:color="auto" w:fill="bebebe"/>
            <w:tcW w:w="1834"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最高限价（万元）</w:t>
            </w:r>
            <w:r>
              <w:rPr>
                <w:rFonts w:hint="eastAsia" w:ascii="宋体" w:hAnsi="宋体" w:eastAsia="宋体" w:cs="宋体"/>
                <w:b/>
                <w:bCs/>
                <w:color w:val="000000"/>
                <w:sz w:val="21"/>
                <w:szCs w:val="21"/>
                <w:highlight w:val="none"/>
                <w:lang w:val="zh-CN"/>
              </w:rPr>
            </w:r>
            <w:r/>
          </w:p>
        </w:tc>
      </w:tr>
      <w:tr>
        <w:trPr>
          <w:trHeight w:val="745"/>
        </w:trPr>
        <w:tc>
          <w:tcPr>
            <w:tcW w:w="906"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17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东沟片</w:t>
            </w:r>
            <w:r>
              <w:rPr>
                <w:rFonts w:hint="eastAsia" w:ascii="宋体" w:hAnsi="宋体" w:eastAsia="宋体" w:cs="宋体"/>
                <w:color w:val="000000"/>
                <w:sz w:val="21"/>
                <w:szCs w:val="21"/>
                <w:highlight w:val="none"/>
                <w:lang w:val="zh-CN"/>
              </w:rPr>
            </w:r>
            <w:r/>
          </w:p>
        </w:tc>
        <w:tc>
          <w:tcPr>
            <w:tcW w:w="3780" w:type="dxa"/>
            <w:vAlign w:val="center"/>
            <w:textDirection w:val="lrTb"/>
            <w:noWrap w:val="false"/>
          </w:tcPr>
          <w:p>
            <w:pPr>
              <w:pStyle w:val="971"/>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color w:val="000000"/>
                <w:sz w:val="21"/>
                <w:szCs w:val="21"/>
                <w:highlight w:val="none"/>
                <w:lang w:val="en-US" w:eastAsia="zh-CN" w:bidi="ar-SA"/>
              </w:rPr>
              <w:t xml:space="preserve">东沟中心社区、平原村、孙赵村、大河口村、团结村</w:t>
            </w:r>
            <w:r>
              <w:rPr>
                <w:rFonts w:hint="eastAsia" w:ascii="宋体" w:hAnsi="宋体" w:eastAsia="宋体" w:cs="宋体"/>
                <w:color w:val="000000"/>
                <w:sz w:val="21"/>
                <w:szCs w:val="21"/>
                <w:highlight w:val="none"/>
                <w:lang w:val="zh-CN" w:eastAsia="zh-CN" w:bidi="ar-SA"/>
              </w:rPr>
            </w:r>
            <w:r/>
          </w:p>
        </w:tc>
        <w:tc>
          <w:tcPr>
            <w:tcW w:w="1335" w:type="dxa"/>
            <w:vAlign w:val="center"/>
            <w:textDirection w:val="lrTb"/>
            <w:noWrap w:val="false"/>
          </w:tcPr>
          <w:p>
            <w:pPr>
              <w:pStyle w:val="971"/>
              <w:jc w:val="center"/>
              <w:keepLines w:val="0"/>
              <w:keepNext/>
              <w:pageBreakBefore w:val="0"/>
              <w:widowControl/>
              <w:rPr>
                <w:rFonts w:ascii="宋体" w:hAnsi="宋体" w:eastAsia="宋体" w:cs="宋体"/>
                <w:color w:val="000000"/>
                <w:sz w:val="22"/>
                <w:highlight w:val="none"/>
                <w:lang w:val="en-US" w:eastAsia="zh-CN"/>
              </w:rPr>
              <w:suppressLineNumbers w:val="0"/>
            </w:pPr>
            <w:r>
              <w:rPr>
                <w:rFonts w:hint="eastAsia" w:ascii="宋体" w:hAnsi="宋体" w:eastAsia="宋体" w:cs="宋体"/>
                <w:color w:val="000000"/>
                <w:sz w:val="22"/>
                <w:highlight w:val="none"/>
                <w:lang w:val="en-US" w:eastAsia="zh-CN"/>
              </w:rPr>
              <w:t xml:space="preserve">1300</w:t>
            </w:r>
            <w:r>
              <w:rPr>
                <w:rFonts w:ascii="宋体" w:hAnsi="宋体" w:eastAsia="宋体" w:cs="宋体"/>
                <w:color w:val="000000"/>
                <w:sz w:val="22"/>
                <w:highlight w:val="none"/>
                <w:lang w:val="en-US" w:eastAsia="zh-CN"/>
              </w:rPr>
            </w:r>
            <w:r/>
          </w:p>
        </w:tc>
        <w:tc>
          <w:tcPr>
            <w:tcW w:w="1834" w:type="dxa"/>
            <w:vAlign w:val="center"/>
            <w:textDirection w:val="lrTb"/>
            <w:noWrap w:val="false"/>
          </w:tcPr>
          <w:p>
            <w:pPr>
              <w:pStyle w:val="1006"/>
              <w:ind w:left="0" w:firstLine="0"/>
              <w:jc w:val="center"/>
              <w:keepNext/>
              <w:pageBreakBefore w:val="0"/>
              <w:spacing w:line="240"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t xml:space="preserve">100</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rPr>
              <w:t xml:space="preserve">26432</w:t>
            </w:r>
            <w:r>
              <w:rPr>
                <w:rFonts w:ascii="宋体" w:hAnsi="宋体" w:eastAsia="宋体" w:cs="宋体"/>
                <w:color w:val="000000"/>
                <w:sz w:val="21"/>
                <w:szCs w:val="21"/>
                <w:highlight w:val="none"/>
                <w:lang w:val="en-US"/>
              </w:rPr>
            </w:r>
            <w:r/>
          </w:p>
        </w:tc>
      </w:tr>
      <w:tr>
        <w:trPr>
          <w:trHeight w:val="783"/>
        </w:trPr>
        <w:tc>
          <w:tcPr>
            <w:tcW w:w="906"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r>
            <w:r/>
          </w:p>
        </w:tc>
        <w:tc>
          <w:tcPr>
            <w:tcW w:w="117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龙袍片</w:t>
            </w:r>
            <w:r>
              <w:rPr>
                <w:rFonts w:hint="eastAsia" w:ascii="宋体" w:hAnsi="宋体" w:eastAsia="宋体" w:cs="宋体"/>
                <w:color w:val="000000"/>
                <w:sz w:val="21"/>
                <w:szCs w:val="21"/>
                <w:highlight w:val="none"/>
                <w:lang w:val="zh-CN"/>
              </w:rPr>
            </w:r>
            <w:r/>
          </w:p>
        </w:tc>
        <w:tc>
          <w:tcPr>
            <w:tcW w:w="3780" w:type="dxa"/>
            <w:vAlign w:val="center"/>
            <w:textDirection w:val="lrTb"/>
            <w:noWrap w:val="false"/>
          </w:tcPr>
          <w:p>
            <w:pPr>
              <w:pStyle w:val="971"/>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color w:val="000000"/>
                <w:sz w:val="21"/>
                <w:szCs w:val="21"/>
                <w:highlight w:val="none"/>
                <w:lang w:val="en-US" w:eastAsia="zh-CN" w:bidi="ar-SA"/>
              </w:rPr>
              <w:t xml:space="preserve">新城社区、楼子社区、渔樵社区、新桥社区、长江社区、赵坝村</w:t>
            </w:r>
            <w:r>
              <w:rPr>
                <w:rFonts w:hint="eastAsia" w:ascii="宋体" w:hAnsi="宋体" w:eastAsia="宋体" w:cs="宋体"/>
                <w:color w:val="000000"/>
                <w:sz w:val="21"/>
                <w:szCs w:val="21"/>
                <w:highlight w:val="none"/>
                <w:lang w:val="zh-CN" w:eastAsia="zh-CN" w:bidi="ar-SA"/>
              </w:rPr>
            </w:r>
            <w:r/>
          </w:p>
        </w:tc>
        <w:tc>
          <w:tcPr>
            <w:tcW w:w="1335" w:type="dxa"/>
            <w:vAlign w:val="center"/>
            <w:textDirection w:val="lrTb"/>
            <w:noWrap w:val="false"/>
          </w:tcPr>
          <w:p>
            <w:pPr>
              <w:pStyle w:val="971"/>
              <w:jc w:val="center"/>
              <w:keepLines w:val="0"/>
              <w:keepNext/>
              <w:pageBreakBefore w:val="0"/>
              <w:widowControl/>
              <w:rPr>
                <w:rFonts w:ascii="宋体" w:hAnsi="宋体" w:eastAsia="宋体" w:cs="宋体"/>
                <w:color w:val="000000"/>
                <w:sz w:val="22"/>
                <w:highlight w:val="none"/>
                <w:lang w:val="en-US"/>
              </w:rPr>
              <w:suppressLineNumbers w:val="0"/>
            </w:pPr>
            <w:r>
              <w:rPr>
                <w:rFonts w:hint="eastAsia" w:ascii="宋体" w:hAnsi="宋体" w:eastAsia="宋体" w:cs="宋体"/>
                <w:i w:val="0"/>
                <w:color w:val="000000"/>
                <w:sz w:val="24"/>
                <w:szCs w:val="24"/>
                <w:highlight w:val="none"/>
                <w:u w:val="none"/>
                <w:lang w:val="en-US" w:eastAsia="zh-CN" w:bidi="ar"/>
              </w:rPr>
              <w:t xml:space="preserve">1400</w:t>
            </w:r>
            <w:r>
              <w:rPr>
                <w:rFonts w:ascii="宋体" w:hAnsi="宋体" w:eastAsia="宋体" w:cs="宋体"/>
                <w:color w:val="000000"/>
                <w:sz w:val="22"/>
                <w:highlight w:val="none"/>
                <w:lang w:val="en-US"/>
              </w:rPr>
            </w:r>
            <w:r/>
          </w:p>
        </w:tc>
        <w:tc>
          <w:tcPr>
            <w:tcW w:w="1834" w:type="dxa"/>
            <w:vAlign w:val="center"/>
            <w:textDirection w:val="lrTb"/>
            <w:noWrap w:val="false"/>
          </w:tcPr>
          <w:p>
            <w:pPr>
              <w:pStyle w:val="1006"/>
              <w:ind w:left="0" w:firstLine="0"/>
              <w:jc w:val="center"/>
              <w:keepNext/>
              <w:pageBreakBefore w:val="0"/>
              <w:spacing w:line="240"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t xml:space="preserve">95</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rPr>
              <w:t xml:space="preserve">43456</w:t>
            </w:r>
            <w:r>
              <w:rPr>
                <w:rFonts w:ascii="宋体" w:hAnsi="宋体" w:eastAsia="宋体" w:cs="宋体"/>
                <w:color w:val="000000"/>
                <w:sz w:val="21"/>
                <w:szCs w:val="21"/>
                <w:highlight w:val="none"/>
                <w:lang w:val="en-US"/>
              </w:rPr>
            </w:r>
            <w:r/>
          </w:p>
        </w:tc>
      </w:tr>
      <w:tr>
        <w:trPr>
          <w:trHeight w:val="926"/>
        </w:trPr>
        <w:tc>
          <w:tcPr>
            <w:gridSpan w:val="5"/>
            <w:tcW w:w="9025" w:type="dxa"/>
            <w:vAlign w:val="center"/>
            <w:textDirection w:val="lrTb"/>
            <w:noWrap w:val="false"/>
          </w:tcPr>
          <w:p>
            <w:pPr>
              <w:pStyle w:val="971"/>
              <w:jc w:val="left"/>
              <w:keepNext/>
              <w:pageBreakBefore w:val="0"/>
              <w:spacing w:line="264" w:lineRule="auto"/>
              <w:rPr>
                <w:rFonts w:hint="eastAsia"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备注：（1）</w:t>
            </w:r>
            <w:r>
              <w:rPr>
                <w:rFonts w:hint="eastAsia" w:ascii="宋体" w:hAnsi="宋体"/>
                <w:b/>
                <w:bCs/>
                <w:color w:val="000000"/>
                <w:sz w:val="21"/>
                <w:szCs w:val="21"/>
                <w:highlight w:val="none"/>
                <w:lang w:val="en-US" w:eastAsia="zh-CN"/>
              </w:rPr>
              <w:t xml:space="preserve">服</w:t>
            </w:r>
            <w:r>
              <w:rPr>
                <w:rFonts w:hint="eastAsia" w:ascii="宋体" w:hAnsi="宋体"/>
                <w:b/>
                <w:bCs/>
                <w:color w:val="000000"/>
                <w:sz w:val="21"/>
                <w:szCs w:val="21"/>
                <w:highlight w:val="none"/>
                <w:lang w:val="zh-CN"/>
              </w:rPr>
              <w:t xml:space="preserve">务人数为暂定人数，在合同期间，如遇南京市或本区对于政府购买居家养老服务出台新的服务标准文件或通知，按照新文件或通知实施时间及标准执行。</w:t>
            </w:r>
            <w:r>
              <w:rPr>
                <w:rFonts w:hint="eastAsia" w:ascii="宋体" w:hAnsi="宋体"/>
                <w:b/>
                <w:bCs/>
                <w:color w:val="000000"/>
                <w:sz w:val="21"/>
                <w:szCs w:val="21"/>
                <w:highlight w:val="none"/>
                <w:lang w:val="zh-CN"/>
              </w:rPr>
            </w:r>
            <w:r/>
          </w:p>
          <w:p>
            <w:pPr>
              <w:pStyle w:val="971"/>
              <w:ind w:firstLine="480"/>
              <w:jc w:val="left"/>
              <w:keepNext/>
              <w:pageBreakBefore w:val="0"/>
              <w:spacing w:line="264" w:lineRule="auto"/>
              <w:rPr>
                <w:rFonts w:hint="eastAsia" w:ascii="宋体" w:hAnsi="宋体" w:eastAsia="宋体" w:cs="宋体"/>
                <w:b/>
                <w:bCs/>
                <w:color w:val="000000"/>
                <w:sz w:val="21"/>
                <w:szCs w:val="21"/>
                <w:highlight w:val="none"/>
                <w:lang w:val="zh-CN"/>
              </w:rPr>
            </w:pPr>
            <w:r>
              <w:rPr>
                <w:rFonts w:hint="eastAsia" w:ascii="宋体" w:hAnsi="宋体"/>
                <w:b/>
                <w:bCs/>
                <w:color w:val="000000"/>
                <w:sz w:val="21"/>
                <w:szCs w:val="21"/>
                <w:highlight w:val="none"/>
                <w:lang w:val="zh-CN"/>
              </w:rPr>
              <w:t xml:space="preserve">（2）最终以成交单位实际服务人数×服务时长，按单价进行结算。</w:t>
            </w:r>
            <w:r>
              <w:rPr>
                <w:rFonts w:hint="eastAsia" w:ascii="宋体" w:hAnsi="宋体" w:eastAsia="宋体" w:cs="宋体"/>
                <w:b/>
                <w:bCs/>
                <w:color w:val="000000"/>
                <w:sz w:val="21"/>
                <w:szCs w:val="21"/>
                <w:highlight w:val="none"/>
                <w:lang w:val="zh-CN"/>
              </w:rPr>
            </w:r>
            <w:r/>
          </w:p>
        </w:tc>
      </w:tr>
    </w:tbl>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.合同履行期限：一年</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本项目不接受联合体参加磋商。</w:t>
      </w:r>
      <w:r>
        <w:rPr>
          <w:rFonts w:hint="eastAsia" w:ascii="宋体" w:hAnsi="宋体"/>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hint="eastAsia" w:ascii="宋体" w:hAnsi="宋体"/>
          <w:color w:val="000000"/>
          <w:sz w:val="24"/>
          <w:szCs w:val="24"/>
          <w:highlight w:val="none"/>
          <w:lang w:val="zh-CN"/>
        </w:rPr>
      </w:r>
      <w:r/>
    </w:p>
    <w:p>
      <w:pPr>
        <w:pStyle w:val="971"/>
        <w:ind w:firstLine="480"/>
        <w:keepNext/>
        <w:pageBreakBefore w:val="0"/>
        <w:spacing w:line="264"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pStyle w:val="971"/>
        <w:ind w:firstLine="480"/>
        <w:keepNext/>
        <w:pageBreakBefore w:val="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zh-CN"/>
        </w:rPr>
        <w:t xml:space="preserve">2.落实政府采购政策需满足的资格要求：无</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其他未列明行业。</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：无</w:t>
      </w:r>
      <w:r>
        <w:rPr>
          <w:rFonts w:hint="eastAsia" w:ascii="宋体" w:hAnsi="宋体" w:eastAsia="宋体"/>
          <w:color w:val="000000"/>
          <w:sz w:val="24"/>
          <w:szCs w:val="24"/>
          <w:highlight w:val="none"/>
          <w:lang w:eastAsia="zh-CN"/>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2.方式：在“江苏政府采购网、南京公共采购信息网”免费下载。</w:t>
      </w:r>
      <w:r>
        <w:rPr>
          <w:rFonts w:hint="eastAsia" w:ascii="宋体" w:hAnsi="宋体" w:cs="宋体"/>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74"/>
        <w:ind w:firstLine="372"/>
        <w:keepNext/>
        <w:pageBreakBefore w:val="0"/>
        <w:spacing w:before="145" w:after="145" w:line="264" w:lineRule="auto"/>
        <w:rPr>
          <w:rFonts w:hint="eastAsia" w:ascii="宋体" w:hAnsi="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2025</w:t>
      </w:r>
      <w:r>
        <w:rPr>
          <w:rFonts w:hint="eastAsia" w:ascii="宋体" w:hAnsi="宋体"/>
          <w:b w:val="0"/>
          <w:bCs w:val="0"/>
          <w:color w:val="000000"/>
          <w:sz w:val="24"/>
          <w:szCs w:val="24"/>
          <w:highlight w:val="none"/>
        </w:rPr>
        <w:t xml:space="preserve">年</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月</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rPr>
        <w:t xml:space="preserve">日</w:t>
      </w:r>
      <w:r>
        <w:rPr>
          <w:rFonts w:hint="eastAsia" w:ascii="宋体" w:hAnsi="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9</w:t>
      </w:r>
      <w:r>
        <w:rPr>
          <w:rFonts w:hint="eastAsia"/>
          <w:b w:val="0"/>
          <w:bCs w:val="0"/>
          <w:color w:val="000000"/>
          <w:sz w:val="24"/>
          <w:szCs w:val="24"/>
          <w:highlight w:val="none"/>
        </w:rPr>
        <w:t xml:space="preserve">时</w:t>
      </w:r>
      <w:r>
        <w:rPr>
          <w:rFonts w:hint="eastAsia"/>
          <w:b w:val="0"/>
          <w:bCs w:val="0"/>
          <w:color w:val="000000"/>
          <w:sz w:val="24"/>
          <w:szCs w:val="24"/>
          <w:highlight w:val="none"/>
          <w:lang w:val="en-US" w:eastAsia="zh-CN"/>
        </w:rPr>
        <w:t xml:space="preserve">00</w:t>
      </w:r>
      <w:r>
        <w:rPr>
          <w:rFonts w:hint="eastAsia" w:ascii="宋体" w:hAnsi="宋体"/>
          <w:b w:val="0"/>
          <w:bCs w:val="0"/>
          <w:color w:val="000000"/>
          <w:sz w:val="24"/>
          <w:szCs w:val="24"/>
          <w:highlight w:val="none"/>
        </w:rPr>
        <w:t xml:space="preserve">分（北京时间）。</w:t>
      </w:r>
      <w:r>
        <w:rPr>
          <w:rFonts w:hint="eastAsia" w:ascii="宋体" w:hAnsi="宋体"/>
          <w:b w:val="0"/>
          <w:bCs w:val="0"/>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71"/>
        <w:ind w:firstLine="480"/>
        <w:keepNext/>
        <w:pageBreakBefore w:val="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hint="eastAsia" w:ascii="宋体" w:hAnsi="宋体" w:cs="宋体"/>
          <w:color w:val="000000"/>
          <w:sz w:val="24"/>
          <w:szCs w:val="24"/>
          <w:highlight w:val="none"/>
        </w:rPr>
      </w:r>
      <w:r/>
    </w:p>
    <w:p>
      <w:pPr>
        <w:pStyle w:val="971"/>
        <w:ind w:firstLine="480"/>
        <w:keepNext/>
        <w:pageBreakBefore w:val="0"/>
        <w:spacing w:line="264"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本项目不组织集中</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1048"/>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rPr>
          <w:rFonts w:hint="eastAsia" w:ascii="宋体" w:hAnsi="宋体" w:cs="宋体"/>
          <w:color w:val="000000"/>
          <w:sz w:val="24"/>
          <w:szCs w:val="24"/>
          <w:highlight w:val="none"/>
        </w:rPr>
      </w:r>
      <w:r/>
    </w:p>
    <w:p>
      <w:pPr>
        <w:pStyle w:val="97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ascii="Arial" w:hAnsi="Arial" w:eastAsia="Arial" w:cs="Arial"/>
          <w:color w:val="000000"/>
          <w:sz w:val="24"/>
          <w:szCs w:val="24"/>
          <w:highlight w:val="none"/>
          <w:shd w:val="clear" w:color="auto" w:fill="ffffff"/>
        </w:rPr>
        <w:t xml:space="preserve">单位名称：</w:t>
      </w:r>
      <w:r>
        <w:rPr>
          <w:rFonts w:hint="eastAsia" w:ascii="Arial" w:hAnsi="Arial" w:eastAsia="宋体" w:cs="Arial"/>
          <w:color w:val="000000"/>
          <w:sz w:val="24"/>
          <w:szCs w:val="24"/>
          <w:highlight w:val="none"/>
          <w:shd w:val="clear" w:color="auto" w:fill="ffffff"/>
          <w:lang w:eastAsia="zh-CN"/>
        </w:rPr>
        <w:t xml:space="preserve">南京市六合区人民政府龙袍街道办事处</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单位地址：南京市六合区龙袍街道龙腾路1号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柳主任</w:t>
      </w:r>
      <w:r>
        <w:rPr>
          <w:rFonts w:hint="eastAsia" w:ascii="宋体" w:hAnsi="宋体" w:eastAsia="宋体"/>
          <w:color w:val="000000"/>
          <w:sz w:val="24"/>
          <w:szCs w:val="24"/>
          <w:highlight w:val="none"/>
          <w:lang w:val="en-US" w:eastAsia="zh-CN"/>
        </w:rPr>
      </w:r>
      <w:r/>
    </w:p>
    <w:p>
      <w:pPr>
        <w:pStyle w:val="971"/>
        <w:ind w:firstLine="480"/>
        <w:keepNext/>
        <w:pageBreakBefore w:val="0"/>
        <w:spacing w:line="264"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bookmarkStart w:id="6" w:name="_Toc28359086"/>
      <w:r/>
      <w:bookmarkStart w:id="7" w:name="_Toc28359009"/>
      <w:r>
        <w:rPr>
          <w:rFonts w:hint="eastAsia" w:ascii="宋体" w:hAnsi="宋体"/>
          <w:color w:val="000000"/>
          <w:sz w:val="24"/>
          <w:szCs w:val="24"/>
          <w:highlight w:val="none"/>
        </w:rPr>
        <w:t xml:space="preserve">025</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57610146</w:t>
      </w:r>
      <w:r>
        <w:rPr>
          <w:rFonts w:ascii="宋体" w:hAnsi="宋体" w:eastAsia="宋体"/>
          <w:color w:val="000000"/>
          <w:sz w:val="24"/>
          <w:szCs w:val="24"/>
          <w:highlight w:val="none"/>
          <w:lang w:val="en-US" w:eastAsia="zh-CN"/>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bookmarkEnd w:id="6"/>
      <w:r/>
      <w:bookmarkEnd w:id="7"/>
      <w:r>
        <w:rPr>
          <w:rFonts w:hint="eastAsia" w:ascii="宋体" w:hAnsi="宋体"/>
          <w:color w:val="000000"/>
          <w:sz w:val="24"/>
          <w:szCs w:val="24"/>
          <w:highlight w:val="none"/>
        </w:rPr>
        <w:t xml:space="preserve">采购代理机构信息</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单位名称：南京名东工程项目管理有限公司  </w:t>
      </w:r>
      <w:r>
        <w:rPr>
          <w:rFonts w:hint="eastAsia" w:ascii="宋体" w:hAnsi="宋体"/>
          <w:color w:val="000000"/>
          <w:sz w:val="24"/>
          <w:szCs w:val="24"/>
          <w:highlight w:val="none"/>
        </w:rPr>
      </w:r>
      <w:r/>
    </w:p>
    <w:p>
      <w:pPr>
        <w:pStyle w:val="971"/>
        <w:ind w:firstLine="480"/>
        <w:keepNext/>
        <w:pageBreakBefore w:val="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单位地址：六合区雄州东路85号理想城2幢1505室</w:t>
      </w:r>
      <w:r>
        <w:rPr>
          <w:rFonts w:hint="eastAsia" w:ascii="宋体" w:hAnsi="宋体"/>
          <w:color w:val="000000"/>
          <w:sz w:val="24"/>
          <w:szCs w:val="24"/>
          <w:highlight w:val="none"/>
        </w:rPr>
      </w:r>
      <w:r/>
    </w:p>
    <w:p>
      <w:pPr>
        <w:pStyle w:val="971"/>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联系人：陈伟</w:t>
      </w:r>
      <w:r>
        <w:rPr>
          <w:rFonts w:hint="eastAsia" w:ascii="宋体" w:hAnsi="宋体" w:cs="宋体"/>
          <w:color w:val="000000"/>
          <w:sz w:val="24"/>
          <w:szCs w:val="24"/>
          <w:highlight w:val="none"/>
        </w:rPr>
      </w:r>
      <w:r/>
    </w:p>
    <w:p>
      <w:pPr>
        <w:pStyle w:val="971"/>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联系电话：025-58474077</w:t>
      </w:r>
      <w:r>
        <w:rPr>
          <w:rFonts w:hint="eastAsia" w:ascii="宋体" w:hAnsi="宋体" w:cs="宋体"/>
          <w:color w:val="000000"/>
          <w:sz w:val="24"/>
          <w:szCs w:val="24"/>
          <w:highlight w:val="none"/>
        </w:rPr>
      </w:r>
      <w:r/>
    </w:p>
    <w:p>
      <w:pPr>
        <w:pStyle w:val="971"/>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971"/>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项目联系人：陈伟</w:t>
      </w:r>
      <w:r>
        <w:rPr>
          <w:rFonts w:hint="eastAsia" w:ascii="宋体" w:hAnsi="宋体" w:cs="宋体"/>
          <w:color w:val="000000"/>
          <w:sz w:val="24"/>
          <w:szCs w:val="24"/>
          <w:highlight w:val="none"/>
        </w:rPr>
      </w:r>
      <w:r/>
    </w:p>
    <w:p>
      <w:pPr>
        <w:pStyle w:val="971"/>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电话：025-58474077</w:t>
      </w:r>
      <w:r>
        <w:rPr>
          <w:rFonts w:hint="eastAsia" w:ascii="宋体" w:hAnsi="宋体" w:cs="宋体"/>
          <w:color w:val="000000"/>
          <w:sz w:val="24"/>
          <w:szCs w:val="24"/>
          <w:highlight w:val="none"/>
        </w:rPr>
      </w:r>
      <w:r/>
    </w:p>
    <w:p>
      <w:pPr>
        <w:pStyle w:val="971"/>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71"/>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第二章  供应商须知</w:t>
      </w:r>
      <w:r>
        <w:rPr>
          <w:rFonts w:hint="eastAsia" w:ascii="方正小标宋简体" w:hAnsi="方正小标宋简体" w:eastAsia="方正小标宋简体" w:cs="方正小标宋简体"/>
          <w:color w:val="000000"/>
          <w:sz w:val="36"/>
          <w:szCs w:val="36"/>
          <w:highlight w:val="none"/>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8" w:name="_Toc120614214"/>
      <w:r/>
      <w:bookmarkStart w:id="9" w:name="_Toc513029203"/>
      <w:r/>
      <w:bookmarkStart w:id="10" w:name="_Toc16938519"/>
      <w:r/>
      <w:bookmarkStart w:id="11" w:name="_Toc20823275"/>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2" w:name="_Hlt16619475"/>
      <w:r/>
      <w:bookmarkEnd w:id="12"/>
      <w:r/>
      <w:bookmarkStart w:id="13" w:name="_Toc458694821"/>
      <w:r/>
      <w:bookmarkStart w:id="14" w:name="_Toc513029204"/>
      <w:r/>
      <w:bookmarkStart w:id="15" w:name="_Toc20823276"/>
      <w:r/>
      <w:bookmarkStart w:id="16" w:name="_Toc16938520"/>
      <w:r>
        <w:rPr>
          <w:rFonts w:hint="eastAsia" w:ascii="方正楷体_GBK" w:hAnsi="方正楷体_GBK" w:eastAsia="方正楷体_GBK" w:cs="方正楷体_GBK"/>
          <w:color w:val="000000"/>
          <w:highlight w:val="none"/>
        </w:rPr>
        <w:t xml:space="preserve">1</w:t>
      </w:r>
      <w:bookmarkEnd w:id="13"/>
      <w:r>
        <w:rPr>
          <w:rFonts w:hint="eastAsia" w:ascii="方正楷体_GBK" w:hAnsi="方正楷体_GBK" w:eastAsia="方正楷体_GBK" w:cs="方正楷体_GBK"/>
          <w:color w:val="000000"/>
          <w:highlight w:val="none"/>
        </w:rPr>
        <w:t xml:space="preserve">.采购方式</w:t>
      </w:r>
      <w:bookmarkEnd w:id="14"/>
      <w:r/>
      <w:bookmarkEnd w:id="15"/>
      <w:r/>
      <w:bookmarkEnd w:id="16"/>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本次政府采购活动采取竞争性磋商(以下简称“磋商”)方式，本文件仅适用于采购公告中所述项目。</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7" w:name="_Toc20823277"/>
      <w:r/>
      <w:bookmarkStart w:id="18" w:name="_Toc513029205"/>
      <w:r/>
      <w:bookmarkStart w:id="19" w:name="_Toc16938521"/>
      <w:r>
        <w:rPr>
          <w:rFonts w:hint="eastAsia" w:ascii="方正楷体_GBK" w:hAnsi="方正楷体_GBK" w:eastAsia="方正楷体_GBK" w:cs="方正楷体_GBK"/>
          <w:color w:val="000000"/>
          <w:highlight w:val="none"/>
        </w:rPr>
        <w:t xml:space="preserve">2.合格的</w:t>
      </w:r>
      <w:bookmarkEnd w:id="17"/>
      <w:r/>
      <w:bookmarkEnd w:id="18"/>
      <w:r/>
      <w:bookmarkEnd w:id="19"/>
      <w:r>
        <w:rPr>
          <w:rFonts w:hint="eastAsia" w:ascii="方正楷体_GBK" w:hAnsi="方正楷体_GBK" w:eastAsia="方正楷体_GBK" w:cs="方正楷体_GBK"/>
          <w:color w:val="000000"/>
          <w:highlight w:val="none"/>
        </w:rPr>
        <w:t xml:space="preserve">供应商</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 满足采购公告对供应商资格要求的规定。</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2.2 满足磋商文件规定的实质性要求和条件。</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20" w:name="_Toc20823278"/>
      <w:r/>
      <w:bookmarkStart w:id="21" w:name="_Toc16938522"/>
      <w:r/>
      <w:bookmarkStart w:id="22" w:name="_Toc513029206"/>
      <w:r>
        <w:rPr>
          <w:rFonts w:hint="eastAsia" w:ascii="方正楷体_GBK" w:hAnsi="方正楷体_GBK" w:eastAsia="方正楷体_GBK" w:cs="方正楷体_GBK"/>
          <w:color w:val="000000"/>
          <w:highlight w:val="none"/>
        </w:rPr>
        <w:t xml:space="preserve">3.适用法律</w:t>
      </w:r>
      <w:bookmarkEnd w:id="20"/>
      <w:r/>
      <w:bookmarkEnd w:id="21"/>
      <w:r/>
      <w:bookmarkEnd w:id="22"/>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3.1 本次采购及由此产生的合同受中华人民共和国有关的法律法规制约和保护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23" w:name="_Toc513029207"/>
      <w:r/>
      <w:bookmarkStart w:id="24" w:name="_Toc462564067"/>
      <w:r/>
      <w:bookmarkStart w:id="25" w:name="_Toc16938523"/>
      <w:r/>
      <w:bookmarkStart w:id="26" w:name="_Toc20823279"/>
      <w:r>
        <w:rPr>
          <w:rFonts w:hint="eastAsia" w:ascii="方正楷体_GBK" w:hAnsi="方正楷体_GBK" w:eastAsia="方正楷体_GBK" w:cs="方正楷体_GBK"/>
          <w:color w:val="000000"/>
          <w:highlight w:val="none"/>
        </w:rPr>
        <w:t xml:space="preserve">4.磋商费用</w:t>
      </w:r>
      <w:bookmarkEnd w:id="23"/>
      <w:r/>
      <w:bookmarkEnd w:id="24"/>
      <w:r/>
      <w:bookmarkEnd w:id="25"/>
      <w:r/>
      <w:bookmarkEnd w:id="26"/>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4.1 供应商应自行承担所有与参加采购有关的费用，无论采购过程中的做法和结果如何，</w:t>
      </w:r>
      <w:r>
        <w:rPr>
          <w:rFonts w:hint="eastAsia" w:ascii="宋体" w:hAnsi="宋体"/>
          <w:color w:val="000000"/>
          <w:sz w:val="24"/>
          <w:highlight w:val="none"/>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5.磋商文件的约束力</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5.1 供应商一旦参加本项目采购活动，即被认为接受了本文件的规定和约束。</w:t>
      </w:r>
      <w:r>
        <w:rPr>
          <w:rFonts w:hint="eastAsia" w:ascii="宋体" w:hAnsi="宋体"/>
          <w:color w:val="000000"/>
          <w:sz w:val="24"/>
          <w:szCs w:val="21"/>
          <w:highlight w:val="none"/>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27" w:name="_Toc120614215"/>
      <w:r/>
      <w:bookmarkStart w:id="28" w:name="_Toc513029209"/>
      <w:r/>
      <w:bookmarkStart w:id="29" w:name="_Toc20823281"/>
      <w:r/>
      <w:bookmarkStart w:id="30" w:name="_Toc16938525"/>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31" w:name="_Toc513029210"/>
      <w:r/>
      <w:bookmarkStart w:id="32" w:name="_Toc16938526"/>
      <w:r/>
      <w:bookmarkStart w:id="33" w:name="_Toc20823282"/>
      <w:r>
        <w:rPr>
          <w:rFonts w:hint="eastAsia" w:ascii="方正楷体_GBK" w:hAnsi="方正楷体_GBK" w:eastAsia="方正楷体_GBK" w:cs="方正楷体_GBK"/>
          <w:color w:val="000000"/>
          <w:highlight w:val="none"/>
        </w:rPr>
        <w:t xml:space="preserve">6.磋商文件构成</w:t>
      </w:r>
      <w:bookmarkEnd w:id="31"/>
      <w:r/>
      <w:bookmarkEnd w:id="32"/>
      <w:r/>
      <w:bookmarkEnd w:id="33"/>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6.1 磋商文件由以下部分组成：</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（1）磋商邀请</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（2）供应商须知</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（3）合同文本</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（4）采购需求</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（5）评审方法与评审标准</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（6）响应文件格式</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供应商应仔细检查磋商文件是否齐全，如有缺漏请立即与代理机构联系。</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34" w:name="_Toc20823283"/>
      <w:r/>
      <w:bookmarkStart w:id="35" w:name="_Toc462564070"/>
      <w:r/>
      <w:bookmarkStart w:id="36" w:name="_Toc513029211"/>
      <w:r/>
      <w:bookmarkStart w:id="37" w:name="_Toc16938527"/>
      <w:r>
        <w:rPr>
          <w:rFonts w:hint="eastAsia" w:ascii="方正楷体_GBK" w:hAnsi="方正楷体_GBK" w:eastAsia="方正楷体_GBK" w:cs="方正楷体_GBK"/>
          <w:color w:val="000000"/>
          <w:highlight w:val="none"/>
        </w:rPr>
        <w:t xml:space="preserve">7.磋商文件的澄清</w:t>
      </w:r>
      <w:bookmarkEnd w:id="34"/>
      <w:r/>
      <w:bookmarkEnd w:id="35"/>
      <w:r/>
      <w:bookmarkEnd w:id="36"/>
      <w:r/>
      <w:bookmarkEnd w:id="37"/>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7.1 任何要求对磋商文件进行澄清的供应商，应在磋商截止期五日前按采购公告中的通讯地址，以书面形式通知代理机构。</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38" w:name="_Toc513029212"/>
      <w:r/>
      <w:bookmarkStart w:id="39" w:name="_Toc16938528"/>
      <w:r/>
      <w:bookmarkStart w:id="40" w:name="_Toc462564071"/>
      <w:r/>
      <w:bookmarkStart w:id="41" w:name="_Toc20823284"/>
      <w:r>
        <w:rPr>
          <w:rFonts w:hint="eastAsia" w:ascii="方正楷体_GBK" w:hAnsi="方正楷体_GBK" w:eastAsia="方正楷体_GBK" w:cs="方正楷体_GBK"/>
          <w:color w:val="000000"/>
          <w:highlight w:val="none"/>
        </w:rPr>
        <w:t xml:space="preserve">8.磋商文件的修改</w:t>
      </w:r>
      <w:bookmarkEnd w:id="38"/>
      <w:r/>
      <w:bookmarkEnd w:id="39"/>
      <w:r/>
      <w:bookmarkEnd w:id="40"/>
      <w:r/>
      <w:bookmarkEnd w:id="41"/>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bookmarkStart w:id="42" w:name="_Toc20823285"/>
      <w:r/>
      <w:bookmarkStart w:id="43" w:name="_Toc16938529"/>
      <w:r/>
      <w:bookmarkStart w:id="44" w:name="_Toc120614216"/>
      <w:r/>
      <w:bookmarkStart w:id="45" w:name="_Toc462564072"/>
      <w:r/>
      <w:bookmarkStart w:id="46" w:name="_Toc513029213"/>
      <w:r>
        <w:rPr>
          <w:rFonts w:hint="eastAsia" w:ascii="宋体" w:hAnsi="宋体"/>
          <w:color w:val="000000"/>
          <w:sz w:val="24"/>
          <w:szCs w:val="21"/>
          <w:highlight w:val="none"/>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8.3 代理机构有权按照法定的要求推迟提交响应文件截止时间，并在原公告媒体发布更正公告。</w:t>
      </w:r>
      <w:r>
        <w:rPr>
          <w:rFonts w:hint="eastAsia" w:ascii="宋体" w:hAnsi="宋体"/>
          <w:color w:val="000000"/>
          <w:sz w:val="24"/>
          <w:szCs w:val="21"/>
          <w:highlight w:val="none"/>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47" w:name="_Toc513029214"/>
      <w:r/>
      <w:bookmarkStart w:id="48" w:name="_Toc16938530"/>
      <w:r/>
      <w:bookmarkStart w:id="49" w:name="_Toc20823286"/>
      <w:r/>
      <w:bookmarkStart w:id="50" w:name="_Toc462564073"/>
      <w:r>
        <w:rPr>
          <w:rFonts w:hint="eastAsia" w:ascii="方正楷体_GBK" w:hAnsi="方正楷体_GBK" w:eastAsia="方正楷体_GBK" w:cs="方正楷体_GBK"/>
          <w:color w:val="000000"/>
          <w:highlight w:val="none"/>
        </w:rPr>
        <w:t xml:space="preserve">9.响应文件的语言及度量衡单位</w:t>
      </w:r>
      <w:bookmarkEnd w:id="47"/>
      <w:r/>
      <w:bookmarkEnd w:id="48"/>
      <w:r/>
      <w:bookmarkEnd w:id="49"/>
      <w:r/>
      <w:bookmarkEnd w:id="50"/>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9.1 供应商提交的响应文件以及供应商与代理机构就有关磋商的所有来往通知、函件和文件均应使用简体中文。</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9.2 除技术性能另有规定外，响应文件所使用的度量衡单位，均须采用国家法定计量单位。</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51" w:name="_Toc513029215"/>
      <w:r/>
      <w:bookmarkStart w:id="52" w:name="_Toc20823287"/>
      <w:r/>
      <w:bookmarkStart w:id="53" w:name="_Toc16938531"/>
      <w:r/>
      <w:bookmarkStart w:id="54" w:name="_Toc462564074"/>
      <w:r>
        <w:rPr>
          <w:rFonts w:hint="eastAsia" w:ascii="方正楷体_GBK" w:hAnsi="方正楷体_GBK" w:eastAsia="方正楷体_GBK" w:cs="方正楷体_GBK"/>
          <w:color w:val="000000"/>
          <w:highlight w:val="none"/>
        </w:rPr>
        <w:t xml:space="preserve">10.响应文件构成</w:t>
      </w:r>
      <w:bookmarkEnd w:id="51"/>
      <w:r/>
      <w:bookmarkEnd w:id="52"/>
      <w:r/>
      <w:bookmarkEnd w:id="53"/>
      <w:r/>
      <w:bookmarkEnd w:id="54"/>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如标书制作工具中格式和内容与“江苏政府采购网”发布的磋商文件不一致，以“江苏政府采购网”发布的磋商文件为准。</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55" w:name="_Hlt26670360"/>
      <w:r/>
      <w:bookmarkEnd w:id="55"/>
      <w:r/>
      <w:bookmarkStart w:id="56" w:name="_Hlt26954838"/>
      <w:r/>
      <w:bookmarkEnd w:id="56"/>
      <w:r/>
      <w:bookmarkStart w:id="57" w:name="_Hlt26668975"/>
      <w:r/>
      <w:bookmarkEnd w:id="57"/>
      <w:r/>
      <w:bookmarkStart w:id="58" w:name="_Toc49090509"/>
      <w:r/>
      <w:bookmarkStart w:id="59" w:name="_Toc14577357"/>
      <w:r/>
      <w:bookmarkStart w:id="60" w:name="_Toc513029219"/>
      <w:r/>
      <w:bookmarkStart w:id="61" w:name="_Toc49090507"/>
      <w:r/>
      <w:bookmarkStart w:id="62" w:name="_Toc14577354"/>
      <w:r/>
      <w:bookmarkStart w:id="63" w:name="_Toc14577355"/>
      <w:r/>
      <w:bookmarkStart w:id="64" w:name="_Toc49090508"/>
      <w:r/>
      <w:bookmarkStart w:id="65" w:name="_Toc513029216"/>
      <w:r>
        <w:rPr>
          <w:rFonts w:hint="eastAsia" w:ascii="方正楷体_GBK" w:hAnsi="方正楷体_GBK" w:eastAsia="方正楷体_GBK" w:cs="方正楷体_GBK"/>
          <w:color w:val="000000"/>
          <w:highlight w:val="none"/>
        </w:rPr>
        <w:t xml:space="preserve">11.证明磋商响应标的符合磋商文件规定的文件</w:t>
      </w:r>
      <w:bookmarkEnd w:id="58"/>
      <w:r/>
      <w:bookmarkEnd w:id="59"/>
      <w:r/>
      <w:bookmarkEnd w:id="60"/>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bookmarkEnd w:id="61"/>
      <w:r/>
      <w:bookmarkEnd w:id="62"/>
      <w:r/>
      <w:bookmarkEnd w:id="65"/>
      <w:r>
        <w:rPr>
          <w:rFonts w:hint="eastAsia" w:ascii="宋体" w:hAnsi="宋体"/>
          <w:color w:val="000000"/>
          <w:sz w:val="24"/>
          <w:szCs w:val="21"/>
          <w:highlight w:val="none"/>
        </w:rPr>
        <w:t xml:space="preserve">11.1 供应商</w:t>
      </w:r>
      <w:r>
        <w:rPr>
          <w:rFonts w:hint="eastAsia" w:ascii="宋体" w:hAnsi="宋体"/>
          <w:color w:val="000000"/>
          <w:sz w:val="24"/>
          <w:highlight w:val="none"/>
        </w:rPr>
        <w:t xml:space="preserve">应按照法律、法规、规章和规范性文件以及</w:t>
      </w:r>
      <w:r>
        <w:rPr>
          <w:rFonts w:hint="eastAsia" w:ascii="宋体" w:hAnsi="宋体"/>
          <w:color w:val="000000"/>
          <w:sz w:val="24"/>
          <w:szCs w:val="21"/>
          <w:highlight w:val="none"/>
        </w:rPr>
        <w:t xml:space="preserve">磋商文件要求提交证明文件，证明其响应标的符合磋商文件规定。</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11.2 磋商文件对证明文件无明确形式要求的，证明文件可以以文字资料、图纸和数据等形式提交。</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End w:id="63"/>
      <w:r/>
      <w:bookmarkEnd w:id="64"/>
      <w:r>
        <w:rPr>
          <w:rFonts w:hint="eastAsia" w:ascii="方正楷体_GBK" w:hAnsi="方正楷体_GBK" w:eastAsia="方正楷体_GBK" w:cs="方正楷体_GBK"/>
          <w:color w:val="000000"/>
          <w:highlight w:val="none"/>
        </w:rPr>
        <w:t xml:space="preserve">12.分项报价表</w:t>
      </w:r>
      <w:r>
        <w:rPr>
          <w:rFonts w:hint="eastAsia" w:ascii="方正楷体_GBK" w:hAnsi="方正楷体_GBK" w:eastAsia="方正楷体_GBK" w:cs="方正楷体_GBK"/>
          <w:color w:val="000000"/>
          <w:highlight w:val="none"/>
          <w:lang w:val="zh-CN"/>
        </w:rPr>
        <w:t xml:space="preserve">（如有）</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12.1 供应商应按照磋商文件规定格式填报分项报价表。</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12.2 响应文件中的单价和总价无特殊规定的采用人民币报价，以元为单位标注。磋商文件另有规定的按规定执行。</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66" w:name="_Hlt26670486"/>
      <w:r/>
      <w:bookmarkEnd w:id="66"/>
      <w:r/>
      <w:bookmarkStart w:id="67" w:name="_Hlt26670482"/>
      <w:r/>
      <w:bookmarkEnd w:id="67"/>
      <w:r/>
      <w:bookmarkStart w:id="68" w:name="_Hlt26954731"/>
      <w:r/>
      <w:bookmarkEnd w:id="68"/>
      <w:r/>
      <w:bookmarkStart w:id="69" w:name="_Hlt26954846"/>
      <w:r/>
      <w:bookmarkEnd w:id="69"/>
      <w:r/>
      <w:bookmarkStart w:id="70" w:name="_Hlt26954848"/>
      <w:r/>
      <w:bookmarkEnd w:id="70"/>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供应商需对磋商文件中的技术要求与商务要求逐项作出响应或偏离说明。</w:t>
      </w:r>
      <w:r>
        <w:rPr>
          <w:rFonts w:hint="eastAsia" w:ascii="宋体" w:hAnsi="宋体"/>
          <w:color w:val="000000"/>
          <w:sz w:val="24"/>
          <w:szCs w:val="21"/>
          <w:highlight w:val="none"/>
          <w:lang w:val="zh-CN"/>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13.2</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供应商可在响应文件中提供认为需要的其他技术文件或说明。</w:t>
      </w:r>
      <w:r>
        <w:rPr>
          <w:rFonts w:hint="eastAsia" w:ascii="宋体" w:hAnsi="宋体"/>
          <w:color w:val="000000"/>
          <w:sz w:val="24"/>
          <w:szCs w:val="21"/>
          <w:highlight w:val="none"/>
          <w:lang w:val="zh-CN"/>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71" w:name="_Toc14577359"/>
      <w:r/>
      <w:bookmarkStart w:id="72" w:name="_Toc49090510"/>
      <w:r>
        <w:rPr>
          <w:rFonts w:hint="eastAsia" w:ascii="方正楷体_GBK" w:hAnsi="方正楷体_GBK" w:eastAsia="方正楷体_GBK" w:cs="方正楷体_GBK"/>
          <w:color w:val="000000"/>
          <w:highlight w:val="none"/>
        </w:rPr>
        <w:t xml:space="preserve">14.磋商响应函</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供应商应按照磋商文件规定格式完整、正确填报磋商响应函。</w:t>
      </w:r>
      <w:r>
        <w:rPr>
          <w:rFonts w:hint="eastAsia" w:ascii="宋体" w:hAnsi="宋体"/>
          <w:color w:val="000000"/>
          <w:sz w:val="24"/>
          <w:szCs w:val="21"/>
          <w:highlight w:val="none"/>
          <w:lang w:val="zh-CN"/>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End w:id="71"/>
      <w:r/>
      <w:bookmarkEnd w:id="72"/>
      <w:r/>
      <w:bookmarkStart w:id="73" w:name="_Toc49090511"/>
      <w:r/>
      <w:bookmarkStart w:id="74" w:name="_Toc14577360"/>
      <w:r>
        <w:rPr>
          <w:rFonts w:hint="eastAsia" w:ascii="方正楷体_GBK" w:hAnsi="方正楷体_GBK" w:eastAsia="方正楷体_GBK" w:cs="方正楷体_GBK"/>
          <w:color w:val="000000"/>
          <w:highlight w:val="none"/>
        </w:rPr>
        <w:t xml:space="preserve">15.磋商有效期</w:t>
      </w:r>
      <w:bookmarkEnd w:id="73"/>
      <w:r/>
      <w:bookmarkEnd w:id="74"/>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15.1 磋商有效期为采购公告规定的提交响应文件截止之日起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。磋商有效期比规定短的将被视为非实质性响应磋商文件而被拒绝。</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16.磋商有效期的延长</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highlight w:val="none"/>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5" w:name="_Hlt26954739"/>
      <w:r/>
      <w:bookmarkEnd w:id="75"/>
      <w:r/>
      <w:bookmarkStart w:id="76" w:name="_Hlt26954852"/>
      <w:r/>
      <w:bookmarkEnd w:id="76"/>
      <w:r/>
      <w:bookmarkStart w:id="77" w:name="_Toc120614217"/>
      <w:r/>
      <w:bookmarkStart w:id="78" w:name="_Toc513029224"/>
      <w:r/>
      <w:bookmarkStart w:id="79" w:name="_Toc20823296"/>
      <w:r/>
      <w:bookmarkStart w:id="80"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81" w:name="_Toc462564084"/>
      <w:r/>
      <w:bookmarkStart w:id="82" w:name="_Toc20823297"/>
      <w:r/>
      <w:bookmarkStart w:id="83" w:name="_Toc16938541"/>
      <w:r/>
      <w:bookmarkStart w:id="84" w:name="_Toc513029225"/>
      <w:r>
        <w:rPr>
          <w:rFonts w:hint="eastAsia" w:ascii="方正楷体_GBK" w:hAnsi="方正楷体_GBK" w:eastAsia="方正楷体_GBK" w:cs="方正楷体_GBK"/>
          <w:color w:val="000000"/>
          <w:highlight w:val="none"/>
        </w:rPr>
        <w:t xml:space="preserve">17.</w:t>
      </w:r>
      <w:bookmarkEnd w:id="81"/>
      <w:r/>
      <w:bookmarkEnd w:id="82"/>
      <w:r/>
      <w:bookmarkEnd w:id="83"/>
      <w:r/>
      <w:bookmarkEnd w:id="84"/>
      <w:r>
        <w:rPr>
          <w:rFonts w:hint="eastAsia" w:ascii="方正楷体_GBK" w:hAnsi="方正楷体_GBK" w:eastAsia="方正楷体_GBK" w:cs="方正楷体_GBK"/>
          <w:color w:val="000000"/>
          <w:highlight w:val="none"/>
        </w:rPr>
        <w:t xml:space="preserve">响应文件的递交</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17.1 供应商应当按照《操作手册》规定，在采购公告规定的提交响应文件截止时间前制作并上传电子响应文件。</w:t>
      </w:r>
      <w:bookmarkStart w:id="85" w:name="_Toc20823298"/>
      <w:r/>
      <w:bookmarkStart w:id="86" w:name="_Toc16938542"/>
      <w:r/>
      <w:bookmarkStart w:id="87" w:name="_Toc513029226"/>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bookmarkEnd w:id="85"/>
      <w:r/>
      <w:bookmarkEnd w:id="86"/>
      <w:r/>
      <w:bookmarkEnd w:id="87"/>
      <w:r>
        <w:rPr>
          <w:rFonts w:hint="eastAsia" w:ascii="宋体" w:hAnsi="宋体"/>
          <w:color w:val="000000"/>
          <w:sz w:val="24"/>
          <w:szCs w:val="21"/>
          <w:highlight w:val="none"/>
        </w:rPr>
        <w:t xml:space="preserve">17.2 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szCs w:val="21"/>
          <w:highlight w:val="none"/>
        </w:rPr>
        <w:t xml:space="preserve">，如因供应商自身原因造成的电子响应文件上传不成功的，按照本磋商文件第二章第24.3条规定做无效响应处理。</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17.3 代理机构可以按照规定，通过修改磋商文件酌情延长提交响应文件截止日期，在此情况下，供应商的所有权利和义务均以延长后新的截止日期为准。</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88" w:name="_Toc16938543"/>
      <w:r/>
      <w:bookmarkStart w:id="89" w:name="_Toc20823299"/>
      <w:r/>
      <w:bookmarkStart w:id="90" w:name="_Toc513029227"/>
      <w:r>
        <w:rPr>
          <w:rFonts w:hint="eastAsia" w:ascii="方正楷体_GBK" w:hAnsi="方正楷体_GBK" w:eastAsia="方正楷体_GBK" w:cs="方正楷体_GBK"/>
          <w:color w:val="000000"/>
          <w:highlight w:val="none"/>
        </w:rPr>
        <w:t xml:space="preserve">18.响应文件</w:t>
      </w:r>
      <w:bookmarkEnd w:id="88"/>
      <w:r/>
      <w:bookmarkEnd w:id="89"/>
      <w:r/>
      <w:bookmarkEnd w:id="90"/>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18.1 提交响应文件截止时间后上传的任何响应文件将被拒绝。</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91" w:name="_Toc16938544"/>
      <w:r/>
      <w:bookmarkStart w:id="92" w:name="_Toc513029228"/>
      <w:r/>
      <w:bookmarkStart w:id="93" w:name="_Toc20823300"/>
      <w:r>
        <w:rPr>
          <w:rFonts w:hint="eastAsia" w:ascii="方正楷体_GBK" w:hAnsi="方正楷体_GBK" w:eastAsia="方正楷体_GBK" w:cs="方正楷体_GBK"/>
          <w:color w:val="000000"/>
          <w:highlight w:val="none"/>
        </w:rPr>
        <w:t xml:space="preserve">19.响应文件的撤回和修改</w:t>
      </w:r>
      <w:bookmarkEnd w:id="91"/>
      <w:r/>
      <w:bookmarkEnd w:id="92"/>
      <w:r/>
      <w:bookmarkEnd w:id="93"/>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19.1 响应文件的撤回</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19.1.1 供应商可在提交响应文件截止时间前，撤回其电子响应文件，具体操作方法见《操作手册》。</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19.1.2 供应商撤回电子响应文件，则认为其不再参与本项目磋商活动。</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19.2 响应文件的修改</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19.2.1 供应商可在提交响应文件截止时间前，对其电子响应文件进行修改，具体操作方法见《操作手册》。</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19.2.2 提交响应文件截止时间之后，供应商不得对其电子响应文件作任何修改。</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19.3 在提交响应文件截止时间至磋商文件中规定的磋商有效期满之间的这段时间内，供应商不得撤回其响应文件。</w:t>
      </w:r>
      <w:r>
        <w:rPr>
          <w:rFonts w:hint="eastAsia" w:ascii="宋体" w:hAnsi="宋体"/>
          <w:color w:val="000000"/>
          <w:sz w:val="24"/>
          <w:szCs w:val="21"/>
          <w:highlight w:val="none"/>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94" w:name="_Toc513029229"/>
      <w:r/>
      <w:bookmarkStart w:id="95" w:name="_Toc16938545"/>
      <w:r/>
      <w:bookmarkStart w:id="96" w:name="_Toc20823301"/>
      <w:r/>
      <w:bookmarkStart w:id="97"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98" w:name="_Toc16938546"/>
      <w:r/>
      <w:bookmarkStart w:id="99" w:name="_Toc513029230"/>
      <w:r/>
      <w:bookmarkStart w:id="100" w:name="_Toc20823302"/>
      <w:r>
        <w:rPr>
          <w:rFonts w:hint="eastAsia" w:ascii="方正楷体_GBK" w:hAnsi="方正楷体_GBK" w:eastAsia="方正楷体_GBK" w:cs="方正楷体_GBK"/>
          <w:color w:val="000000"/>
          <w:highlight w:val="none"/>
        </w:rPr>
        <w:t xml:space="preserve">2</w:t>
      </w:r>
      <w:bookmarkEnd w:id="98"/>
      <w:r/>
      <w:bookmarkEnd w:id="99"/>
      <w:r/>
      <w:bookmarkEnd w:id="100"/>
      <w:r>
        <w:rPr>
          <w:rFonts w:hint="eastAsia" w:ascii="方正楷体_GBK" w:hAnsi="方正楷体_GBK" w:eastAsia="方正楷体_GBK" w:cs="方正楷体_GBK"/>
          <w:color w:val="000000"/>
          <w:highlight w:val="none"/>
        </w:rPr>
        <w:t xml:space="preserve">0.响应文件解密</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20.1 供应商应当按照《操作手册》规定，在苏采云系统规定的时间内对响应文件进行解密。</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01" w:name="_Toc16938547"/>
      <w:r/>
      <w:bookmarkStart w:id="102" w:name="_Toc513029231"/>
      <w:r/>
      <w:bookmarkStart w:id="103" w:name="_Toc20823303"/>
      <w:r>
        <w:rPr>
          <w:rFonts w:hint="eastAsia" w:ascii="方正楷体_GBK" w:hAnsi="方正楷体_GBK" w:eastAsia="方正楷体_GBK" w:cs="方正楷体_GBK"/>
          <w:color w:val="000000"/>
          <w:highlight w:val="none"/>
        </w:rPr>
        <w:t xml:space="preserve">21.磋商</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21.1 依法组建的磋商小组对响应文件进行评审。</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21.2 磋商小组由采购人代表和有关技术、经济或法律等方面的专家组成，且人员构成符合政府采购有关规定。</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21.3 磋商小组独立工作，负责评审所有响应文件并推荐成交候选人，或根据采购人授权直接确定成交供应商。</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22.评审过程的保密与公正</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bookmarkEnd w:id="101"/>
      <w:r/>
      <w:bookmarkEnd w:id="102"/>
      <w:r/>
      <w:bookmarkEnd w:id="103"/>
      <w:r>
        <w:rPr>
          <w:rFonts w:hint="eastAsia" w:ascii="宋体" w:hAnsi="宋体"/>
          <w:color w:val="000000"/>
          <w:sz w:val="24"/>
          <w:szCs w:val="21"/>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22.2 供应商不得以任何方式影响评审过程，否则其响应文件将被作为无效响应文件。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22.3 代理机构和磋商小组不向未成交的供应商解释未成交原因，也不公布评审过程中的相关细节。</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04" w:name="_Toc20823304"/>
      <w:r/>
      <w:bookmarkStart w:id="105" w:name="_Toc16938548"/>
      <w:r/>
      <w:bookmarkStart w:id="106" w:name="_Toc513029232"/>
      <w:r>
        <w:rPr>
          <w:rFonts w:hint="eastAsia" w:ascii="方正楷体_GBK" w:hAnsi="方正楷体_GBK" w:eastAsia="方正楷体_GBK" w:cs="方正楷体_GBK"/>
          <w:color w:val="000000"/>
          <w:highlight w:val="none"/>
        </w:rPr>
        <w:t xml:space="preserve">23.评审过程中的澄清</w:t>
      </w:r>
      <w:bookmarkEnd w:id="104"/>
      <w:r/>
      <w:bookmarkEnd w:id="105"/>
      <w:r/>
      <w:bookmarkEnd w:id="106"/>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供应商的澄清、说明或者补正不得超出响应文件的范围或者改变响应文件的实质性内容。</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磋商小组并非对每个供应商都做澄清要求。</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23.2 需要供应商进行澄清、说明和补正的，磋商小组将通过苏采云系统向供应商发出</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，接到</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的供应商应当按照要求在苏采云系统中提交</w:t>
      </w:r>
      <w:r>
        <w:rPr>
          <w:rFonts w:hint="eastAsia" w:ascii="宋体" w:hAnsi="宋体"/>
          <w:color w:val="000000"/>
          <w:sz w:val="24"/>
          <w:highlight w:val="none"/>
          <w:lang w:val="zh-CN"/>
        </w:rPr>
        <w:t xml:space="preserve">《澄清响应函》</w:t>
      </w:r>
      <w:r>
        <w:rPr>
          <w:rFonts w:hint="eastAsia" w:ascii="宋体" w:hAnsi="宋体"/>
          <w:color w:val="000000"/>
          <w:sz w:val="24"/>
          <w:szCs w:val="21"/>
          <w:highlight w:val="none"/>
        </w:rPr>
        <w:t xml:space="preserve">并加盖电子公章。澄清、说明和补正的内容作为响应文件的补充部分，具体操作方式见《操作手册》。</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23.3 接到磋商小组澄清、说明和补正要求的供应商如未按规定做出澄清、说明和补正，其风险由供应商自行承担。</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07" w:name="_Toc20823305"/>
      <w:r/>
      <w:bookmarkStart w:id="108" w:name="_Toc16938549"/>
      <w:r/>
      <w:bookmarkStart w:id="109" w:name="_Toc513029233"/>
      <w:r>
        <w:rPr>
          <w:rFonts w:hint="eastAsia" w:ascii="方正楷体_GBK" w:hAnsi="方正楷体_GBK" w:eastAsia="方正楷体_GBK" w:cs="方正楷体_GBK"/>
          <w:color w:val="000000"/>
          <w:highlight w:val="none"/>
        </w:rPr>
        <w:t xml:space="preserve">24.响应文件的审</w:t>
      </w:r>
      <w:bookmarkEnd w:id="107"/>
      <w:r/>
      <w:bookmarkEnd w:id="108"/>
      <w:r/>
      <w:bookmarkEnd w:id="109"/>
      <w:r>
        <w:rPr>
          <w:rFonts w:hint="eastAsia" w:ascii="方正楷体_GBK" w:hAnsi="方正楷体_GBK" w:eastAsia="方正楷体_GBK" w:cs="方正楷体_GBK"/>
          <w:color w:val="000000"/>
          <w:highlight w:val="none"/>
        </w:rPr>
        <w:t xml:space="preserve">查</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 响应文件审查分为资格审查和符合性审查。</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 未实质性响应磋商文件的情形</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 供应商在苏采云系统规定的时间内未成功解密电子响应文件。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24.3.2 供应商未按照磋商文件要求上传电子响应文件。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24.3.3 同一供应商提交两个（含两个）以上不同的响应文件或者最后报价。</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24.3.4 供应商不具备磋商文件中规定的资格要求。</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24.3.5 供应商的最后报价超过了采购预算或最高限价。</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24.3.6 不符合磋商文件中规定的实质性要求和条件（</w:t>
      </w:r>
      <w:r>
        <w:rPr>
          <w:rFonts w:hint="eastAsia" w:ascii="宋体" w:hAnsi="宋体"/>
          <w:b/>
          <w:bCs/>
          <w:color w:val="000000"/>
          <w:sz w:val="24"/>
          <w:szCs w:val="21"/>
          <w:highlight w:val="none"/>
        </w:rPr>
        <w:t xml:space="preserve">本文件中斜体且有下划线部分</w:t>
      </w:r>
      <w:r>
        <w:rPr>
          <w:rFonts w:hint="eastAsia" w:ascii="宋体" w:hAnsi="宋体"/>
          <w:b/>
          <w:bCs/>
          <w:color w:val="000000"/>
          <w:sz w:val="24"/>
          <w:szCs w:val="21"/>
          <w:highlight w:val="none"/>
          <w:lang w:val="zh-CN"/>
        </w:rPr>
        <w:t xml:space="preserve">或者打“</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lang w:val="zh-CN"/>
        </w:rPr>
        <w:t xml:space="preserve">”内容，</w:t>
      </w:r>
      <w:r>
        <w:rPr>
          <w:rFonts w:hint="eastAsia" w:ascii="宋体" w:hAnsi="宋体"/>
          <w:b/>
          <w:bCs/>
          <w:color w:val="000000"/>
          <w:sz w:val="24"/>
          <w:szCs w:val="21"/>
          <w:highlight w:val="none"/>
        </w:rPr>
        <w:t xml:space="preserve">为实质性要求和条件</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24.3.8 响应文件含有采购人不能接受的附加条件。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24.3.10 </w:t>
      </w:r>
      <w:r>
        <w:rPr>
          <w:rFonts w:hint="eastAsia" w:ascii="宋体" w:hAnsi="宋体"/>
          <w:color w:val="000000"/>
          <w:sz w:val="24"/>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24.3.11 响应文件未按照磋商文件要求加盖电子公章。</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24.3.12 法律法规及本磋商文件规定的其他无效响应的情形。</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24.4 未实质性响应磋商文件的响应文件按无效响应处理。</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bookmarkStart w:id="110" w:name="_Toc16938550"/>
      <w:r/>
      <w:bookmarkStart w:id="111" w:name="_Toc20823306"/>
      <w:r/>
      <w:bookmarkStart w:id="112" w:name="_Toc513029234"/>
      <w:r>
        <w:rPr>
          <w:rFonts w:hint="eastAsia" w:ascii="宋体" w:hAnsi="宋体"/>
          <w:color w:val="000000"/>
          <w:sz w:val="24"/>
          <w:szCs w:val="21"/>
          <w:highlight w:val="none"/>
        </w:rPr>
        <w:t xml:space="preserve">24.6 供应商在项目评审全过程中应保持通讯畅通，</w:t>
      </w:r>
      <w:r>
        <w:rPr>
          <w:rFonts w:hint="eastAsia" w:ascii="宋体" w:hAnsi="宋体"/>
          <w:color w:val="000000"/>
          <w:sz w:val="24"/>
          <w:highlight w:val="none"/>
          <w:lang w:val="zh-CN"/>
        </w:rPr>
        <w:t xml:space="preserve">及时登录苏采云系统查阅、答复相关信息，并安排专人与代理机构及磋商小组联系。</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10"/>
      <w:r/>
      <w:bookmarkEnd w:id="111"/>
      <w:r/>
      <w:bookmarkEnd w:id="112"/>
      <w:r>
        <w:rPr>
          <w:rFonts w:hint="eastAsia" w:ascii="方正楷体_GBK" w:hAnsi="方正楷体_GBK" w:eastAsia="方正楷体_GBK" w:cs="方正楷体_GBK"/>
          <w:color w:val="000000"/>
          <w:highlight w:val="none"/>
        </w:rPr>
        <w:t xml:space="preserve">5.磋商程序及评审方法与评审标准</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bookmarkStart w:id="113" w:name="_Toc120614219"/>
      <w:r/>
      <w:bookmarkStart w:id="114" w:name="_Toc16938551"/>
      <w:r/>
      <w:bookmarkStart w:id="115" w:name="_Toc513029235"/>
      <w:r/>
      <w:bookmarkStart w:id="116" w:name="_Toc20823307"/>
      <w:r>
        <w:rPr>
          <w:rFonts w:hint="eastAsia" w:ascii="宋体" w:hAnsi="宋体"/>
          <w:color w:val="000000"/>
          <w:sz w:val="24"/>
          <w:szCs w:val="21"/>
          <w:highlight w:val="none"/>
        </w:rPr>
        <w:t xml:space="preserve">25.1 磋商程序</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25.2 评审方法与评审标准</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25.2.1 评审方法。见磋商文件第五章。</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25.2.2 评审标准。见磋商文件第五章。</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 采购活动终止</w:t>
      </w:r>
      <w:r>
        <w:rPr>
          <w:rFonts w:hint="eastAsia" w:ascii="宋体" w:hAnsi="宋体"/>
          <w:color w:val="000000"/>
          <w:sz w:val="24"/>
          <w:szCs w:val="21"/>
          <w:highlight w:val="none"/>
        </w:rPr>
      </w:r>
      <w:r/>
    </w:p>
    <w:p>
      <w:pPr>
        <w:pStyle w:val="971"/>
        <w:ind w:firstLine="422"/>
        <w:keepNext/>
        <w:pageBreakBefore w:val="0"/>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出现下列情形之一的，本次采购活动终止：</w:t>
      </w:r>
      <w:r>
        <w:rPr>
          <w:rFonts w:hint="eastAsia" w:ascii="宋体" w:hAnsi="宋体"/>
          <w:b/>
          <w:bCs/>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25.3.1 因情况变化，不再符合竞争性磋商采购方式适用情形。</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25.3.2 出现影响采购公正的违法、违规行为。</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25.3.3 在苏采云系统规定时间内成功解密电子响应文件的供应商不足三家。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5</w:t>
      </w:r>
      <w:r>
        <w:rPr>
          <w:rFonts w:hint="eastAsia" w:ascii="宋体" w:hAnsi="宋体"/>
          <w:color w:val="000000"/>
          <w:sz w:val="24"/>
          <w:szCs w:val="21"/>
          <w:highlight w:val="none"/>
          <w:lang w:val="zh-CN"/>
        </w:rPr>
        <w:t xml:space="preserve">.3.5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rPr>
          <w:rFonts w:hint="eastAsia" w:ascii="宋体" w:hAnsi="宋体"/>
          <w:color w:val="000000"/>
          <w:sz w:val="24"/>
          <w:szCs w:val="21"/>
          <w:highlight w:val="none"/>
          <w:lang w:val="zh-CN"/>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17" w:name="_Toc20823310"/>
      <w:r/>
      <w:bookmarkStart w:id="118" w:name="_Toc513029238"/>
      <w:r/>
      <w:bookmarkStart w:id="119" w:name="_Toc16938554"/>
      <w:r>
        <w:rPr>
          <w:rFonts w:hint="eastAsia" w:ascii="方正楷体_GBK" w:hAnsi="方正楷体_GBK" w:eastAsia="方正楷体_GBK" w:cs="方正楷体_GBK"/>
          <w:color w:val="000000"/>
          <w:highlight w:val="none"/>
        </w:rPr>
        <w:t xml:space="preserve">2</w:t>
      </w:r>
      <w:bookmarkEnd w:id="118"/>
      <w:r>
        <w:rPr>
          <w:rFonts w:hint="eastAsia" w:ascii="方正楷体_GBK" w:hAnsi="方正楷体_GBK" w:eastAsia="方正楷体_GBK" w:cs="方正楷体_GBK"/>
          <w:color w:val="000000"/>
          <w:highlight w:val="none"/>
        </w:rPr>
        <w:t xml:space="preserve">6.确定</w:t>
      </w:r>
      <w:bookmarkEnd w:id="117"/>
      <w:r/>
      <w:bookmarkEnd w:id="119"/>
      <w:r>
        <w:rPr>
          <w:rFonts w:hint="eastAsia" w:ascii="方正楷体_GBK" w:hAnsi="方正楷体_GBK" w:eastAsia="方正楷体_GBK" w:cs="方正楷体_GBK"/>
          <w:color w:val="000000"/>
          <w:highlight w:val="none"/>
        </w:rPr>
        <w:t xml:space="preserve">成交单位</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26.1 成交候选供应商的确定原则和数量见磋商文件第五章。</w:t>
      </w:r>
      <w:r>
        <w:rPr>
          <w:rFonts w:hint="eastAsia" w:ascii="宋体" w:hAnsi="宋体"/>
          <w:color w:val="000000"/>
          <w:sz w:val="24"/>
          <w:szCs w:val="21"/>
          <w:highlight w:val="none"/>
        </w:rPr>
      </w:r>
      <w:r/>
    </w:p>
    <w:p>
      <w:pPr>
        <w:pStyle w:val="971"/>
        <w:ind w:firstLine="420"/>
        <w:keepNext/>
        <w:pageBreakBefore w:val="0"/>
        <w:rPr>
          <w:rFonts w:ascii="宋体" w:hAnsi="宋体"/>
          <w:color w:val="000000"/>
          <w:sz w:val="24"/>
          <w:szCs w:val="24"/>
          <w:highlight w:val="none"/>
        </w:rPr>
      </w:pPr>
      <w:r>
        <w:rPr>
          <w:rFonts w:hint="eastAsia" w:ascii="宋体" w:hAnsi="宋体"/>
          <w:color w:val="000000"/>
          <w:sz w:val="24"/>
          <w:szCs w:val="21"/>
          <w:highlight w:val="none"/>
        </w:rPr>
        <w:t xml:space="preserve">26.2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rPr>
          <w:rFonts w:ascii="宋体" w:hAnsi="宋体"/>
          <w:color w:val="000000"/>
          <w:sz w:val="24"/>
          <w:szCs w:val="24"/>
          <w:highlight w:val="none"/>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71"/>
        <w:ind w:firstLine="420"/>
        <w:keepNext/>
        <w:pageBreakBefore w:val="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26.3 代理机构将在“江苏政府采购网”发布成交结果公告，公告期限为1个工作日。</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 </w:t>
      </w:r>
      <w:r>
        <w:rPr>
          <w:rFonts w:hint="eastAsia" w:ascii="宋体" w:hAnsi="宋体"/>
          <w:b/>
          <w:bCs/>
          <w:color w:val="000000"/>
          <w:sz w:val="24"/>
          <w:szCs w:val="21"/>
          <w:highlight w:val="none"/>
        </w:rPr>
        <w:t xml:space="preserve">若有充分证据证明成交供应商有下列情况之一的，一经查实将被取消成交资格：</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26.4.1 提供虚假材料谋取成交。</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26.4.2 向评审专家、采购人或代理机构工作人员行贿或者提供其他不正当利益。</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26.4.3 与其他供应商、评审专家、采购人或代理机构工作人员恶意串通。</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26.4.4 不满足本磋商文件规定的实质性要求，但在评审过程中未被磋商小组发现。</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26.4.5 采取不正当手段诋毁、排挤其他供应商。</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bookmarkStart w:id="120" w:name="_Toc200451960"/>
      <w:r>
        <w:rPr>
          <w:rFonts w:hint="eastAsia" w:ascii="方正楷体_GBK" w:hAnsi="方正楷体_GBK" w:eastAsia="方正楷体_GBK" w:cs="方正楷体_GBK"/>
          <w:color w:val="000000"/>
          <w:highlight w:val="none"/>
        </w:rPr>
        <w:t xml:space="preserve">27.成交通知书</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highlight w:val="none"/>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971"/>
        <w:ind w:firstLine="420"/>
        <w:keepNext/>
        <w:pageBreakBefore w:val="0"/>
        <w:rPr>
          <w:rFonts w:ascii="宋体" w:hAnsi="宋体"/>
          <w:color w:val="000000"/>
          <w:sz w:val="24"/>
          <w:highlight w:val="none"/>
        </w:rPr>
      </w:pPr>
      <w:r>
        <w:rPr>
          <w:rFonts w:hint="eastAsia" w:ascii="宋体" w:hAnsi="宋体"/>
          <w:color w:val="000000"/>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ascii="宋体" w:hAnsi="宋体"/>
          <w:color w:val="000000"/>
          <w:sz w:val="24"/>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28.2 磋商文件、成交供应商的响应文件及磋商过程中有关澄清、承诺文件均作为合同附件。</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28.4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szCs w:val="21"/>
          <w:highlight w:val="none"/>
        </w:rPr>
      </w:pPr>
      <w:r>
        <w:rPr>
          <w:rFonts w:hint="eastAsia" w:ascii="宋体" w:hAnsi="宋体"/>
          <w:color w:val="000000"/>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szCs w:val="21"/>
          <w:highlight w:val="none"/>
        </w:rPr>
        <w:t xml:space="preserve">30.1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971"/>
        <w:ind w:firstLine="420"/>
        <w:keepNext/>
        <w:pageBreakBefore w:val="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97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971"/>
        <w:ind w:firstLine="420"/>
        <w:keepNext/>
        <w:pageBreakBefore w:val="0"/>
        <w:rPr>
          <w:rFonts w:hint="eastAsia" w:ascii="宋体" w:hAnsi="宋体"/>
          <w:color w:val="000000"/>
          <w:sz w:val="24"/>
          <w:highlight w:val="none"/>
          <w:lang w:val="zh-CN"/>
        </w:rPr>
      </w:pPr>
      <w:r/>
      <w:bookmarkEnd w:id="120"/>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规定以书面形式向采购人或代理机构提出质疑。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对采购文件提出质疑的，为收到采购文件之日或者采购文件公告期限届满之日。</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highlight w:val="none"/>
          <w:lang w:val="zh-CN"/>
        </w:rPr>
        <w:t xml:space="preserve">供应商对除上述事项以外其他事项的询问、质疑向采购人提出，由采购人负责答复。</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71"/>
        <w:ind w:firstLine="422"/>
        <w:keepNext/>
        <w:pageBreakBefore w:val="0"/>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w:t>
      </w:r>
      <w:r>
        <w:rPr>
          <w:rFonts w:hint="eastAsia" w:ascii="宋体" w:hAnsi="宋体"/>
          <w:b/>
          <w:bCs/>
          <w:color w:val="000000"/>
          <w:sz w:val="24"/>
          <w:highlight w:val="none"/>
        </w:rPr>
        <w:t xml:space="preserve">函</w:t>
      </w:r>
      <w:r>
        <w:rPr>
          <w:rFonts w:hint="eastAsia" w:ascii="宋体" w:hAnsi="宋体"/>
          <w:b/>
          <w:bCs/>
          <w:color w:val="000000"/>
          <w:sz w:val="24"/>
          <w:highlight w:val="none"/>
          <w:lang w:val="zh-CN"/>
        </w:rPr>
        <w:t xml:space="preserve">》接收人及联系方式见采购文件第一章。</w:t>
      </w:r>
      <w:r>
        <w:rPr>
          <w:rFonts w:hint="eastAsia" w:ascii="宋体" w:hAnsi="宋体"/>
          <w:b/>
          <w:bCs/>
          <w:color w:val="000000"/>
          <w:sz w:val="24"/>
          <w:highlight w:val="none"/>
          <w:lang w:val="zh-CN"/>
        </w:rPr>
      </w:r>
      <w:r/>
    </w:p>
    <w:p>
      <w:pPr>
        <w:pStyle w:val="971"/>
        <w:ind w:firstLine="422"/>
        <w:keepNext/>
        <w:pageBreakBefore w:val="0"/>
        <w:rPr>
          <w:rFonts w:hint="eastAsia" w:ascii="宋体" w:hAnsi="宋体"/>
          <w:b/>
          <w:bCs/>
          <w:color w:val="000000"/>
          <w:sz w:val="24"/>
          <w:highlight w:val="none"/>
          <w:lang w:val="zh-CN"/>
        </w:rPr>
      </w:pPr>
      <w:r>
        <w:rPr>
          <w:rFonts w:hint="eastAsia" w:ascii="宋体" w:hAnsi="宋体"/>
          <w:b/>
          <w:bCs/>
          <w:color w:val="000000"/>
          <w:sz w:val="24"/>
          <w:highlight w:val="none"/>
        </w:rPr>
        <w:t xml:space="preserve">由代理机构负责答复的质疑。</w:t>
      </w:r>
      <w:r>
        <w:rPr>
          <w:rFonts w:hint="eastAsia" w:ascii="宋体" w:hAnsi="宋体"/>
          <w:b/>
          <w:bCs/>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内容不符合《政府采购质疑和投诉办法》第十二条规定的质疑。</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超出政府采购法定期限的质疑。</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以传真、电子邮件等方式递交的非原件形式的质疑。</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未参加采购活动或在采购活动中自身权益未受到损害的供应商所提出的质疑。</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供应商组成联合体参加采购活动，联合体中任何一方或多方未按要求签字或盖章、加盖公章的质疑。</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974"/>
        <w:ind w:firstLine="465"/>
        <w:keepNext/>
        <w:pageBreakBefore w:val="0"/>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975"/>
        <w:ind w:firstLine="420"/>
        <w:keepNext/>
        <w:pageBreakBefore w:val="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参与磋商的供应商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971"/>
        <w:ind w:firstLine="420"/>
        <w:keepNext/>
        <w:pageBreakBefore w:val="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1094"/>
        <w:keepNext/>
        <w:pageBreakBefore w:val="0"/>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971"/>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84"/>
        <w:keepNext/>
        <w:pageBreakBefore w:val="0"/>
        <w:rPr>
          <w:rFonts w:hint="eastAsia"/>
          <w:color w:val="000000"/>
          <w:highlight w:val="none"/>
        </w:rPr>
      </w:pPr>
      <w:r>
        <w:rPr>
          <w:rFonts w:hint="eastAsia"/>
          <w:color w:val="000000"/>
          <w:highlight w:val="none"/>
        </w:rPr>
      </w:r>
      <w:r/>
    </w:p>
    <w:p>
      <w:pPr>
        <w:pStyle w:val="971"/>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971"/>
        <w:jc w:val="center"/>
        <w:keepNext/>
        <w:pageBreakBefore w:val="0"/>
        <w:spacing w:before="145" w:after="145"/>
        <w:rPr>
          <w:rFonts w:hint="eastAsia" w:ascii="宋体" w:hAnsi="宋体"/>
          <w:bCs/>
          <w:color w:val="000000"/>
          <w:sz w:val="24"/>
          <w:szCs w:val="21"/>
          <w:highlight w:val="none"/>
        </w:rPr>
        <w:outlineLvl w:val="0"/>
      </w:pPr>
      <w:r>
        <w:rPr>
          <w:rFonts w:hint="eastAsia" w:ascii="宋体" w:hAnsi="宋体"/>
          <w:bCs/>
          <w:color w:val="000000"/>
          <w:sz w:val="24"/>
          <w:szCs w:val="21"/>
          <w:highlight w:val="none"/>
        </w:rPr>
        <w:t xml:space="preserve">以下为本项目的合同条款，合同双方不得对磋商、响应文件内容作实质性修改。</w:t>
      </w:r>
      <w:r>
        <w:rPr>
          <w:rFonts w:hint="eastAsia" w:ascii="宋体" w:hAnsi="宋体"/>
          <w:bCs/>
          <w:color w:val="000000"/>
          <w:sz w:val="24"/>
          <w:szCs w:val="21"/>
          <w:highlight w:val="none"/>
        </w:rPr>
      </w:r>
      <w:r/>
    </w:p>
    <w:p>
      <w:pPr>
        <w:pStyle w:val="1094"/>
        <w:ind w:left="0"/>
        <w:keepNext/>
        <w:pageBreakBefore w:val="0"/>
        <w:rPr>
          <w:rFonts w:hint="eastAsia"/>
          <w:color w:val="000000"/>
          <w:highlight w:val="none"/>
        </w:rPr>
      </w:pPr>
      <w:r>
        <w:rPr>
          <w:rFonts w:hint="eastAsia"/>
          <w:color w:val="000000"/>
          <w:highlight w:val="none"/>
        </w:rPr>
      </w:r>
      <w:r/>
    </w:p>
    <w:p>
      <w:pPr>
        <w:pStyle w:val="971"/>
        <w:jc w:val="center"/>
        <w:keepNext/>
        <w:pageBreakBefore w:val="0"/>
        <w:spacing w:before="145" w:after="145"/>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71"/>
        <w:jc w:val="left"/>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71"/>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71"/>
        <w:jc w:val="left"/>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eastAsia="zh-CN"/>
        </w:rPr>
        <w:t xml:space="preserve">采购</w:t>
      </w:r>
      <w:r>
        <w:rPr>
          <w:rFonts w:ascii="宋体" w:hAnsi="宋体" w:cs="Courier New"/>
          <w:color w:val="000000"/>
          <w:sz w:val="24"/>
          <w:szCs w:val="24"/>
          <w:highlight w:val="none"/>
        </w:rPr>
        <w:t xml:space="preserve">方）</w:t>
      </w:r>
      <w:r>
        <w:rPr>
          <w:rFonts w:ascii="宋体" w:hAnsi="宋体" w:cs="Courier New"/>
          <w:color w:val="000000"/>
          <w:sz w:val="24"/>
          <w:szCs w:val="24"/>
          <w:highlight w:val="none"/>
        </w:rPr>
      </w:r>
      <w:r/>
    </w:p>
    <w:p>
      <w:pPr>
        <w:pStyle w:val="971"/>
        <w:jc w:val="left"/>
        <w:keepNext/>
        <w:pageBreakBefore w:val="0"/>
        <w:spacing w:before="145" w:after="145"/>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eastAsia="zh-CN"/>
        </w:rPr>
        <w:t xml:space="preserve">服务</w:t>
      </w:r>
      <w:r>
        <w:rPr>
          <w:rFonts w:ascii="宋体" w:hAnsi="宋体" w:cs="Courier New"/>
          <w:color w:val="000000"/>
          <w:sz w:val="24"/>
          <w:szCs w:val="24"/>
          <w:highlight w:val="none"/>
        </w:rPr>
        <w:t xml:space="preserve">方）</w:t>
      </w:r>
      <w:r>
        <w:rPr>
          <w:rFonts w:ascii="宋体" w:hAnsi="宋体" w:cs="Courier New"/>
          <w:color w:val="000000"/>
          <w:sz w:val="24"/>
          <w:szCs w:val="24"/>
          <w:highlight w:val="none"/>
        </w:rPr>
      </w:r>
      <w:r/>
    </w:p>
    <w:p>
      <w:pPr>
        <w:pStyle w:val="971"/>
        <w:keepNext/>
        <w:pageBreakBefore w:val="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南京名东工程项目管理有限公司组织的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71"/>
        <w:numPr>
          <w:ilvl w:val="0"/>
          <w:numId w:val="5"/>
        </w:numPr>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合同标的 详见采购文件 乙方响应文件</w:t>
      </w:r>
      <w:r>
        <w:rPr>
          <w:rFonts w:ascii="宋体" w:hAnsi="宋体"/>
          <w:b/>
          <w:bCs/>
          <w:color w:val="000000"/>
          <w:szCs w:val="21"/>
          <w:highlight w:val="none"/>
        </w:rPr>
      </w:r>
      <w:r/>
    </w:p>
    <w:p>
      <w:pPr>
        <w:pStyle w:val="971"/>
        <w:numPr>
          <w:ilvl w:val="0"/>
          <w:numId w:val="5"/>
        </w:numPr>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合同总价款</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本合同项下服务单价价款为：政府养老服务对象照护服务</w:t>
      </w:r>
      <w:r>
        <w:rPr>
          <w:rFonts w:hint="eastAsia" w:ascii="宋体" w:hAnsi="宋体"/>
          <w:color w:val="000000"/>
          <w:szCs w:val="21"/>
          <w:highlight w:val="none"/>
          <w:u w:val="single"/>
        </w:rPr>
        <w:t xml:space="preserve">31.2</w:t>
      </w:r>
      <w:r>
        <w:rPr>
          <w:rFonts w:hint="eastAsia" w:ascii="宋体" w:hAnsi="宋体" w:cs="宋体"/>
          <w:bCs/>
          <w:color w:val="000000"/>
          <w:szCs w:val="21"/>
          <w:highlight w:val="none"/>
          <w:lang w:val="zh-CN"/>
        </w:rPr>
        <w:t xml:space="preserve">元/人/小时</w:t>
      </w:r>
      <w:r>
        <w:rPr>
          <w:rFonts w:hint="eastAsia" w:ascii="宋体" w:hAnsi="宋体"/>
          <w:color w:val="000000"/>
          <w:szCs w:val="21"/>
          <w:highlight w:val="none"/>
        </w:rPr>
        <w:t xml:space="preserve">；（以实际服务量为准）。</w:t>
      </w:r>
      <w:r>
        <w:rPr>
          <w:rFonts w:hint="eastAsia" w:ascii="宋体" w:hAnsi="宋体"/>
          <w:b/>
          <w:bCs/>
          <w:color w:val="000000"/>
          <w:sz w:val="21"/>
          <w:szCs w:val="21"/>
          <w:highlight w:val="none"/>
          <w:lang w:val="zh-CN"/>
        </w:rPr>
        <w:t xml:space="preserve">在合同期间，如遇南京市或本区对于政府购买居家养老服务出台新的服务标准文件或通知，按照新文件或通知实施时间及标准执行。</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服务实施周期为</w:t>
      </w:r>
      <w:r>
        <w:rPr>
          <w:rFonts w:hint="eastAsia" w:hAnsi="宋体" w:cs="宋体"/>
          <w:color w:val="000000"/>
          <w:szCs w:val="21"/>
          <w:highlight w:val="none"/>
        </w:rPr>
        <w:t xml:space="preserve">自</w:t>
      </w:r>
      <w:r>
        <w:rPr>
          <w:rFonts w:ascii="宋体" w:hAnsi="宋体" w:cs="宋体"/>
          <w:bCs/>
          <w:color w:val="000000"/>
          <w:szCs w:val="21"/>
          <w:highlight w:val="none"/>
          <w:lang w:val="en-GB"/>
        </w:rPr>
        <w:t xml:space="preserve">202</w:t>
      </w:r>
      <w:r>
        <w:rPr>
          <w:rFonts w:hint="eastAsia" w:ascii="宋体" w:hAnsi="宋体" w:cs="宋体"/>
          <w:bCs/>
          <w:color w:val="000000"/>
          <w:szCs w:val="21"/>
          <w:highlight w:val="none"/>
        </w:rPr>
        <w:t xml:space="preserve">6年</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日起至2026年</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lang w:eastAsia="zh-CN"/>
        </w:rPr>
        <w:t xml:space="preserve">，</w:t>
      </w:r>
      <w:r>
        <w:rPr>
          <w:rFonts w:hint="eastAsia" w:ascii="宋体" w:hAnsi="宋体"/>
          <w:b/>
          <w:bCs/>
          <w:color w:val="000000"/>
          <w:sz w:val="21"/>
          <w:szCs w:val="21"/>
          <w:highlight w:val="none"/>
          <w:lang w:val="zh-CN"/>
        </w:rPr>
        <w:t xml:space="preserve">如遇南京市或本区对于政府购买居家养老服务出台新的</w:t>
      </w:r>
      <w:r>
        <w:rPr>
          <w:rFonts w:hint="eastAsia" w:ascii="宋体" w:hAnsi="宋体"/>
          <w:b/>
          <w:bCs/>
          <w:color w:val="000000"/>
          <w:sz w:val="21"/>
          <w:szCs w:val="21"/>
          <w:highlight w:val="none"/>
          <w:lang w:val="en-US" w:eastAsia="zh-CN"/>
        </w:rPr>
        <w:t xml:space="preserve">政策</w:t>
      </w:r>
      <w:r>
        <w:rPr>
          <w:rFonts w:hint="eastAsia" w:ascii="宋体" w:hAnsi="宋体"/>
          <w:b/>
          <w:bCs/>
          <w:color w:val="000000"/>
          <w:sz w:val="21"/>
          <w:szCs w:val="21"/>
          <w:highlight w:val="none"/>
          <w:lang w:val="zh-CN"/>
        </w:rPr>
        <w:t xml:space="preserve">文件或通知，</w:t>
      </w:r>
      <w:r>
        <w:rPr>
          <w:rFonts w:hint="eastAsia" w:ascii="宋体" w:hAnsi="宋体"/>
          <w:b/>
          <w:bCs/>
          <w:color w:val="000000"/>
          <w:sz w:val="21"/>
          <w:szCs w:val="21"/>
          <w:highlight w:val="none"/>
          <w:lang w:val="en-US" w:eastAsia="zh-CN"/>
        </w:rPr>
        <w:t xml:space="preserve">采购人有权终止合同，已完成的服务人数按照单价进行结算</w:t>
      </w:r>
      <w:r>
        <w:rPr>
          <w:rFonts w:hint="eastAsia" w:ascii="宋体" w:hAnsi="宋体"/>
          <w:color w:val="000000"/>
          <w:szCs w:val="21"/>
          <w:highlight w:val="none"/>
        </w:rPr>
        <w:t xml:space="preserve">。</w:t>
      </w:r>
      <w:r>
        <w:rPr>
          <w:rFonts w:ascii="宋体" w:hAnsi="宋体"/>
          <w:color w:val="000000"/>
          <w:szCs w:val="21"/>
          <w:highlight w:val="none"/>
        </w:rPr>
      </w:r>
      <w:r/>
    </w:p>
    <w:p>
      <w:pPr>
        <w:pStyle w:val="971"/>
        <w:ind w:firstLine="420"/>
        <w:keepNext/>
        <w:pageBreakBefore w:val="0"/>
        <w:spacing w:line="560" w:lineRule="exact"/>
        <w:rPr>
          <w:rFonts w:ascii="宋体" w:hAnsi="宋体" w:cs="Arial"/>
          <w:color w:val="000000"/>
          <w:szCs w:val="21"/>
          <w:highlight w:val="none"/>
        </w:rPr>
      </w:pPr>
      <w:r>
        <w:rPr>
          <w:rFonts w:hint="eastAsia" w:ascii="宋体" w:hAnsi="宋体"/>
          <w:color w:val="000000"/>
          <w:szCs w:val="21"/>
          <w:highlight w:val="none"/>
        </w:rPr>
        <w:t xml:space="preserve">本合同执行期间最终价款据实结算。</w:t>
      </w:r>
      <w:r>
        <w:rPr>
          <w:rFonts w:ascii="宋体" w:hAnsi="宋体" w:cs="Arial"/>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本合同总价款是完成本项目所发生的所有含税费用、支付给员工的工资和国家强制缴纳的各种社会保障资金</w:t>
      </w:r>
      <w:r>
        <w:rPr>
          <w:rFonts w:hint="eastAsia" w:ascii="宋体" w:hAnsi="宋体"/>
          <w:bCs/>
          <w:color w:val="000000"/>
          <w:szCs w:val="21"/>
          <w:highlight w:val="none"/>
        </w:rPr>
        <w:t xml:space="preserve">，以</w:t>
      </w:r>
      <w:r>
        <w:rPr>
          <w:rFonts w:hint="eastAsia" w:ascii="宋体" w:hAnsi="宋体"/>
          <w:color w:val="000000"/>
          <w:szCs w:val="21"/>
          <w:highlight w:val="none"/>
        </w:rPr>
        <w:t xml:space="preserve">及乙方认为需要的其他费用等。</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第三条 组成本合同的有关文件</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下列关于</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none"/>
        </w:rPr>
        <w:t xml:space="preserve">号</w:t>
      </w:r>
      <w:r>
        <w:rPr>
          <w:rFonts w:hint="eastAsia" w:ascii="宋体" w:hAnsi="宋体"/>
          <w:color w:val="000000"/>
          <w:szCs w:val="21"/>
          <w:highlight w:val="none"/>
        </w:rPr>
        <w:t xml:space="preserve">的竞争性磋商文件、乙方响应文件，或与本次采购活动方式相适应的文件，以及有关附件是本合同不可分割的组成部分，与本合同具有同等法律效力，这些文件包括但不限于：</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）乙方提供的响应文件和报价表；</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）技术偏离表；</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）磋商承诺</w:t>
      </w:r>
      <w:r>
        <w:rPr>
          <w:rFonts w:ascii="宋体" w:hAnsi="宋体"/>
          <w:color w:val="000000"/>
          <w:szCs w:val="21"/>
          <w:highlight w:val="none"/>
        </w:rPr>
        <w:t xml:space="preserve">/</w:t>
      </w:r>
      <w:r>
        <w:rPr>
          <w:rFonts w:hint="eastAsia" w:ascii="宋体" w:hAnsi="宋体"/>
          <w:color w:val="000000"/>
          <w:szCs w:val="21"/>
          <w:highlight w:val="none"/>
        </w:rPr>
        <w:t xml:space="preserve">服务承诺；</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）成交通知书；</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）甲乙双方商定的其他文件等。</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第四条 权利保证</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1、乙方应保证为甲方提供的服务内容任何一部分，不受第三方提出侵犯其专利权、版权、商标权或其他权利的起诉。一旦出现侵权，乙方应承担全部责任。</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2、乙方安排的工作员不得在为老人服务的过程中，向老人或其家属包括但不限于推销保健品、P2P等在内的违法</w:t>
      </w:r>
      <w:r>
        <w:rPr>
          <w:rFonts w:hint="eastAsia" w:ascii="宋体" w:hAnsi="宋体"/>
          <w:color w:val="000000"/>
          <w:szCs w:val="21"/>
          <w:highlight w:val="none"/>
          <w:lang w:eastAsia="zh-CN"/>
        </w:rPr>
        <w:t xml:space="preserve">违</w:t>
      </w:r>
      <w:r>
        <w:rPr>
          <w:rFonts w:hint="eastAsia" w:ascii="宋体" w:hAnsi="宋体"/>
          <w:color w:val="000000"/>
          <w:szCs w:val="21"/>
          <w:highlight w:val="none"/>
        </w:rPr>
        <w:t xml:space="preserve">规的内容，否则甲方有权单方解除本合同，并保留追究乙方及其相关责任人员的法律责任的权利。</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3、乙方安排的工作人员需注意工作方式、方法和态度，不能与老人、家属、街道</w:t>
      </w:r>
      <w:r>
        <w:rPr>
          <w:rFonts w:hint="eastAsia" w:ascii="宋体" w:hAnsi="宋体"/>
          <w:color w:val="000000"/>
          <w:szCs w:val="21"/>
          <w:highlight w:val="none"/>
          <w:lang w:eastAsia="zh-CN"/>
        </w:rPr>
        <w:t xml:space="preserve">及村（</w:t>
      </w:r>
      <w:r>
        <w:rPr>
          <w:rFonts w:hint="eastAsia" w:ascii="宋体" w:hAnsi="宋体"/>
          <w:color w:val="000000"/>
          <w:szCs w:val="21"/>
          <w:highlight w:val="none"/>
        </w:rPr>
        <w:t xml:space="preserve">社区</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工作人员发生矛盾。确保在项目执行过程中老人、家属及乙方工作人员的人身安全，若照护服务项目执行过程中发生任何安全问题，由乙方自行负责，甲方不承担任何责任。</w:t>
      </w:r>
      <w:r>
        <w:rPr>
          <w:rFonts w:ascii="宋体" w:hAnsi="宋体"/>
          <w:color w:val="000000"/>
          <w:szCs w:val="21"/>
          <w:highlight w:val="none"/>
        </w:rPr>
      </w:r>
      <w:r/>
    </w:p>
    <w:p>
      <w:pPr>
        <w:pStyle w:val="971"/>
        <w:ind w:firstLine="420"/>
        <w:keepNext/>
        <w:pageBreakBefore w:val="0"/>
        <w:spacing w:line="5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4、乙方在执行项目过程中、结束后，应对服务对象的个人信息严格保密不得泄露、否则甲方有权追究乙方责任。</w:t>
      </w:r>
      <w:r>
        <w:rPr>
          <w:rFonts w:hint="eastAsia" w:ascii="宋体" w:hAnsi="宋体" w:eastAsia="宋体" w:cs="Times New Roman"/>
          <w:color w:val="000000"/>
          <w:szCs w:val="21"/>
          <w:highlight w:val="none"/>
        </w:rPr>
      </w:r>
      <w:r/>
    </w:p>
    <w:p>
      <w:pPr>
        <w:pStyle w:val="971"/>
        <w:ind w:firstLine="420"/>
        <w:keepNext/>
        <w:pageBreakBefore w:val="0"/>
        <w:spacing w:line="56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5、乙方在成交后不得进行分包或转包，服务单位成交后需在六合区民政局备案，备案单位名称必须要和成交单位名称一致。</w:t>
      </w:r>
      <w:r>
        <w:rPr>
          <w:rFonts w:ascii="宋体" w:hAnsi="宋体" w:eastAsia="宋体" w:cs="Times New Roman"/>
          <w:color w:val="000000"/>
          <w:szCs w:val="21"/>
          <w:highlight w:val="none"/>
          <w:lang w:val="en-US" w:eastAsia="zh-CN"/>
        </w:rPr>
      </w:r>
      <w:r/>
    </w:p>
    <w:p>
      <w:pPr>
        <w:pStyle w:val="971"/>
        <w:ind w:firstLine="422"/>
        <w:keepNext/>
        <w:pageBreakBefore w:val="0"/>
        <w:spacing w:line="560" w:lineRule="exact"/>
        <w:rPr>
          <w:rFonts w:ascii="宋体" w:hAnsi="宋体"/>
          <w:b/>
          <w:bCs/>
          <w:color w:val="000000"/>
          <w:szCs w:val="21"/>
          <w:highlight w:val="none"/>
          <w:lang w:eastAsia="zh-TW"/>
        </w:rPr>
      </w:pPr>
      <w:r>
        <w:rPr>
          <w:rFonts w:hint="eastAsia" w:ascii="宋体" w:hAnsi="宋体"/>
          <w:b/>
          <w:bCs/>
          <w:color w:val="000000"/>
          <w:szCs w:val="21"/>
          <w:highlight w:val="none"/>
        </w:rPr>
        <w:t xml:space="preserve">第五条 质量保证</w:t>
      </w:r>
      <w:r>
        <w:rPr>
          <w:rFonts w:ascii="宋体" w:hAnsi="宋体"/>
          <w:b/>
          <w:bCs/>
          <w:color w:val="000000"/>
          <w:szCs w:val="21"/>
          <w:highlight w:val="none"/>
          <w:lang w:eastAsia="zh-TW"/>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1、老人享受的服务项目应以《南京市养老服务条例》、</w:t>
      </w:r>
      <w:r>
        <w:rPr>
          <w:rFonts w:hint="eastAsia" w:ascii="宋体" w:hAnsi="宋体" w:cs="宋体"/>
          <w:color w:val="000000"/>
          <w:szCs w:val="21"/>
          <w:highlight w:val="none"/>
        </w:rPr>
        <w:t xml:space="preserve">（宁民养老〔2023〕149 号）</w:t>
      </w:r>
      <w:r>
        <w:rPr>
          <w:rFonts w:hint="eastAsia" w:ascii="宋体" w:hAnsi="宋体"/>
          <w:color w:val="000000"/>
          <w:szCs w:val="21"/>
          <w:highlight w:val="none"/>
        </w:rPr>
        <w:t xml:space="preserve">和</w:t>
      </w:r>
      <w:r>
        <w:rPr>
          <w:rFonts w:hint="eastAsia" w:ascii="宋体" w:hAnsi="宋体"/>
          <w:color w:val="000000"/>
          <w:szCs w:val="21"/>
          <w:highlight w:val="none"/>
          <w:lang w:val="en-US" w:eastAsia="zh-CN"/>
        </w:rPr>
        <w:t xml:space="preserve">区</w:t>
      </w:r>
      <w:r>
        <w:rPr>
          <w:rFonts w:hint="eastAsia" w:ascii="宋体" w:hAnsi="宋体"/>
          <w:color w:val="000000"/>
          <w:szCs w:val="21"/>
          <w:highlight w:val="none"/>
        </w:rPr>
        <w:t xml:space="preserve">相关文件要求，服务标准严格按照文件要求的时长和频次落实。如果有新文件出台，则按新标准执行。</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政府购买居家养老照护服务</w:t>
      </w:r>
      <w:r>
        <w:rPr>
          <w:rFonts w:hint="eastAsia" w:ascii="宋体" w:hAnsi="宋体"/>
          <w:color w:val="000000"/>
          <w:szCs w:val="21"/>
          <w:highlight w:val="none"/>
          <w:lang w:val="en-US" w:eastAsia="zh-CN"/>
        </w:rPr>
        <w:t xml:space="preserve">采取六合</w:t>
      </w:r>
      <w:r>
        <w:rPr>
          <w:rFonts w:hint="eastAsia" w:ascii="宋体" w:hAnsi="宋体"/>
          <w:color w:val="000000"/>
          <w:szCs w:val="21"/>
          <w:highlight w:val="none"/>
        </w:rPr>
        <w:t xml:space="preserve">区</w:t>
      </w:r>
      <w:r>
        <w:rPr>
          <w:rFonts w:hint="eastAsia" w:ascii="宋体" w:hAnsi="宋体"/>
          <w:color w:val="000000"/>
          <w:szCs w:val="21"/>
          <w:highlight w:val="none"/>
          <w:lang w:val="en-US" w:eastAsia="zh-CN"/>
        </w:rPr>
        <w:t xml:space="preserve">智慧养老平台</w:t>
      </w:r>
      <w:r>
        <w:rPr>
          <w:rFonts w:hint="eastAsia" w:ascii="宋体" w:hAnsi="宋体"/>
          <w:color w:val="000000"/>
          <w:szCs w:val="21"/>
          <w:highlight w:val="none"/>
        </w:rPr>
        <w:t xml:space="preserve">监管</w:t>
      </w:r>
      <w:r>
        <w:rPr>
          <w:rFonts w:hint="eastAsia" w:ascii="宋体" w:hAnsi="宋体"/>
          <w:color w:val="000000"/>
          <w:szCs w:val="21"/>
          <w:highlight w:val="none"/>
          <w:lang w:val="en-US" w:eastAsia="zh-CN"/>
        </w:rPr>
        <w:t xml:space="preserve">方式</w:t>
      </w:r>
      <w:r>
        <w:rPr>
          <w:rFonts w:hint="eastAsia" w:ascii="宋体" w:hAnsi="宋体"/>
          <w:color w:val="000000"/>
          <w:szCs w:val="21"/>
          <w:highlight w:val="none"/>
        </w:rPr>
        <w:t xml:space="preserve">，乙方上门服务开始与结束时，都需要</w:t>
      </w:r>
      <w:r>
        <w:rPr>
          <w:rFonts w:hint="eastAsia" w:ascii="宋体" w:hAnsi="宋体"/>
          <w:color w:val="000000"/>
          <w:szCs w:val="21"/>
          <w:highlight w:val="none"/>
          <w:lang w:val="en-US" w:eastAsia="zh-CN"/>
        </w:rPr>
        <w:t xml:space="preserve">进行人脸识别</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信息由乙方定期汇总，并按照上级要求规范操作。</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3、上门服务人员需具备为老服务资质，乙方服务人员与接受服务的老年人如发生民事等纠纷，由乙方承担一切法律责任。</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4、乙方提供的服务必须全部包含文件中所有规定类型，同时达到</w:t>
      </w:r>
      <w:r>
        <w:rPr>
          <w:rFonts w:hint="eastAsia" w:ascii="宋体" w:hAnsi="宋体"/>
          <w:color w:val="000000"/>
          <w:szCs w:val="21"/>
          <w:highlight w:val="none"/>
          <w:lang w:val="en-US" w:eastAsia="zh-CN"/>
        </w:rPr>
        <w:t xml:space="preserve">市、区相关文件</w:t>
      </w:r>
      <w:r>
        <w:rPr>
          <w:rFonts w:hint="eastAsia" w:ascii="宋体" w:hAnsi="宋体"/>
          <w:color w:val="000000"/>
          <w:szCs w:val="21"/>
          <w:highlight w:val="none"/>
        </w:rPr>
        <w:t xml:space="preserve">的各项要求。</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5、乙方在项目</w:t>
      </w:r>
      <w:r>
        <w:rPr>
          <w:rFonts w:hint="eastAsia" w:ascii="宋体" w:hAnsi="宋体"/>
          <w:color w:val="000000"/>
          <w:szCs w:val="21"/>
          <w:highlight w:val="none"/>
          <w:lang w:val="en-US" w:eastAsia="zh-CN"/>
        </w:rPr>
        <w:t xml:space="preserve">执行过程中如有违法、违规行为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甲方有权</w:t>
      </w:r>
      <w:r>
        <w:rPr>
          <w:rFonts w:hint="eastAsia" w:ascii="宋体" w:hAnsi="宋体"/>
          <w:color w:val="000000"/>
          <w:szCs w:val="21"/>
          <w:highlight w:val="none"/>
        </w:rPr>
        <w:t xml:space="preserve">中止项目。</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、在项目实施周期内，乙方不得频繁更换项目负责人（周期内负责人更换不得超过两次），同时乙方应适时开展服务人员的培训，提升服务技能。</w:t>
      </w:r>
      <w:r>
        <w:rPr>
          <w:rFonts w:ascii="宋体" w:hAnsi="宋体"/>
          <w:color w:val="000000"/>
          <w:szCs w:val="21"/>
          <w:highlight w:val="none"/>
        </w:rPr>
      </w:r>
      <w:r/>
    </w:p>
    <w:p>
      <w:pPr>
        <w:pStyle w:val="971"/>
        <w:ind w:firstLine="420"/>
        <w:keepNext/>
        <w:pageBreakBefore w:val="0"/>
        <w:spacing w:line="560" w:lineRule="exact"/>
        <w:rPr>
          <w:color w:val="000000"/>
          <w:highlight w:val="none"/>
        </w:rPr>
      </w:pPr>
      <w:r>
        <w:rPr>
          <w:rFonts w:hint="eastAsia" w:ascii="宋体" w:hAnsi="宋体"/>
          <w:color w:val="000000"/>
          <w:szCs w:val="21"/>
          <w:highlight w:val="none"/>
        </w:rPr>
        <w:t xml:space="preserve">7、</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需配合甲方完成其他养老任务（例如：村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社区</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居家站点运营</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睦邻点运营</w:t>
      </w:r>
      <w:r>
        <w:rPr>
          <w:rFonts w:hint="eastAsia" w:ascii="宋体" w:hAnsi="宋体"/>
          <w:color w:val="000000"/>
          <w:szCs w:val="21"/>
          <w:highlight w:val="none"/>
        </w:rPr>
        <w:t xml:space="preserve">）。</w:t>
      </w:r>
      <w:r>
        <w:rPr>
          <w:color w:val="000000"/>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8、乙方应当针对本项目形成单独项目资金明细及对应详细收支账等便于后续资金审计材料，同时针对本项目乙方必须积极配合甲方，以及各级主管部门对本单位开展的项目监督检查、绩效评估以及资金使用的审计等事宜。</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9、项目期间，乙方应当具备充分的主动性和积极性，自行对接相关</w:t>
      </w:r>
      <w:r>
        <w:rPr>
          <w:rFonts w:hint="eastAsia" w:ascii="宋体" w:hAnsi="宋体"/>
          <w:color w:val="000000"/>
          <w:szCs w:val="21"/>
          <w:highlight w:val="none"/>
          <w:lang w:eastAsia="zh-CN"/>
        </w:rPr>
        <w:t xml:space="preserve">村、</w:t>
      </w:r>
      <w:r>
        <w:rPr>
          <w:rFonts w:hint="eastAsia" w:ascii="宋体" w:hAnsi="宋体"/>
          <w:color w:val="000000"/>
          <w:szCs w:val="21"/>
          <w:highlight w:val="none"/>
        </w:rPr>
        <w:t xml:space="preserve">社区新增人员名单或主动发现符合政策的人员名单，并积极协助老人申请，保障老人按时享受服务权益和应当享受人员服务覆盖率。</w:t>
      </w:r>
      <w:r>
        <w:rPr>
          <w:rFonts w:ascii="宋体" w:hAnsi="宋体"/>
          <w:color w:val="000000"/>
          <w:szCs w:val="21"/>
          <w:highlight w:val="none"/>
        </w:rPr>
      </w:r>
      <w:r/>
    </w:p>
    <w:p>
      <w:pPr>
        <w:pStyle w:val="971"/>
        <w:ind w:firstLine="420"/>
        <w:keepNext/>
        <w:pageBreakBefore w:val="0"/>
        <w:spacing w:line="560" w:lineRule="exact"/>
        <w:rPr>
          <w:color w:val="000000"/>
          <w:highlight w:val="none"/>
        </w:rPr>
      </w:pPr>
      <w:r>
        <w:rPr>
          <w:rFonts w:hint="eastAsia" w:ascii="宋体" w:hAnsi="宋体"/>
          <w:color w:val="000000"/>
          <w:szCs w:val="21"/>
          <w:highlight w:val="none"/>
        </w:rPr>
        <w:t xml:space="preserve">10、乙方在项目期间，应与所有接受服务的老年人签订服务协议，明确上门服务项目、服务时间、服务人员、服务组织等重点内容。服务过程中要做到凡服务必签约，未签约的服务工单，将不予认可。</w:t>
      </w:r>
      <w:r>
        <w:rPr>
          <w:color w:val="000000"/>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乙方所提供服务的技术规格响应与磋商文件规定的服务要求及所附的“技术条款偏离表”相一致；若技术性能无特殊说明，则按国家有关部门最新颁布的标准及规范为准。</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第六条 验收评估</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验收标准：按行业通行标准和乙方响应文件的承诺（不低于国家相关标准）。</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1、乙方应当在合同签订后，在规定时间内完成项目片区服务老人名单摸排确认，并开展项目所对应的服务等</w:t>
      </w:r>
      <w:r>
        <w:rPr>
          <w:rFonts w:hint="eastAsia" w:ascii="宋体" w:hAnsi="宋体"/>
          <w:color w:val="000000"/>
          <w:szCs w:val="21"/>
          <w:highlight w:val="none"/>
          <w:lang w:val="en-US" w:eastAsia="zh-CN"/>
        </w:rPr>
        <w:t xml:space="preserve">磋商</w:t>
      </w:r>
      <w:r>
        <w:rPr>
          <w:rFonts w:hint="eastAsia" w:ascii="宋体" w:hAnsi="宋体"/>
          <w:color w:val="000000"/>
          <w:szCs w:val="21"/>
          <w:highlight w:val="none"/>
        </w:rPr>
        <w:t xml:space="preserve">文件规定的内容。</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2、甲方将根据</w:t>
      </w:r>
      <w:r>
        <w:rPr>
          <w:rFonts w:hint="eastAsia" w:ascii="宋体" w:hAnsi="宋体"/>
          <w:color w:val="000000"/>
          <w:szCs w:val="21"/>
          <w:highlight w:val="none"/>
          <w:lang w:val="en-US" w:eastAsia="zh-CN"/>
        </w:rPr>
        <w:t xml:space="preserve">市、</w:t>
      </w:r>
      <w:r>
        <w:rPr>
          <w:rFonts w:hint="eastAsia" w:ascii="宋体" w:hAnsi="宋体"/>
          <w:color w:val="000000"/>
          <w:szCs w:val="21"/>
          <w:highlight w:val="none"/>
        </w:rPr>
        <w:t xml:space="preserve">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街道、村（社区）的监管反馈</w:t>
      </w:r>
      <w:r>
        <w:rPr>
          <w:rFonts w:hint="eastAsia" w:ascii="宋体" w:hAnsi="宋体"/>
          <w:color w:val="000000"/>
          <w:szCs w:val="21"/>
          <w:highlight w:val="none"/>
        </w:rPr>
        <w:t xml:space="preserve">对乙方实施的项目进行服务质量评估，如评估结果不合格，甲方有权要求乙方负责整改，整改不合格或二次出现问题，甲方有权单方解除合同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同时不予拨付款项，如果造成损失，甲方有权向乙方主张赔偿。</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3、乙方需遵循</w:t>
      </w:r>
      <w:r>
        <w:rPr>
          <w:rFonts w:hint="eastAsia" w:ascii="宋体" w:hAnsi="宋体"/>
          <w:color w:val="000000"/>
          <w:szCs w:val="21"/>
          <w:highlight w:val="none"/>
          <w:lang w:val="en-US" w:eastAsia="zh-CN"/>
        </w:rPr>
        <w:t xml:space="preserve">六合区</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龙袍</w:t>
      </w:r>
      <w:r>
        <w:rPr>
          <w:rFonts w:hint="eastAsia" w:ascii="宋体" w:hAnsi="宋体"/>
          <w:color w:val="000000"/>
          <w:szCs w:val="21"/>
          <w:highlight w:val="none"/>
        </w:rPr>
        <w:t xml:space="preserve">街道工作要求，完成相关服务指标，具体完成情况以</w:t>
      </w:r>
      <w:r>
        <w:rPr>
          <w:rFonts w:hint="eastAsia" w:ascii="宋体" w:hAnsi="宋体"/>
          <w:color w:val="000000"/>
          <w:szCs w:val="21"/>
          <w:highlight w:val="none"/>
          <w:lang w:val="en-US" w:eastAsia="zh-CN"/>
        </w:rPr>
        <w:t xml:space="preserve">六合区</w:t>
      </w:r>
      <w:r>
        <w:rPr>
          <w:rFonts w:hint="eastAsia" w:ascii="宋体" w:hAnsi="宋体"/>
          <w:color w:val="000000"/>
          <w:szCs w:val="21"/>
          <w:highlight w:val="none"/>
        </w:rPr>
        <w:t xml:space="preserve">民政局通报为准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若乙方服务期限内未完成考核或因乙方原因影响甲方考核，否则甲方有权单方解除合同。</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4、乙方在项目执行期内，应当确保服务的质效性及老人满意度，原则上服务满意度应当不低于90%，经核实满意度低于90%</w:t>
      </w:r>
      <w:r>
        <w:rPr>
          <w:rFonts w:hint="eastAsia" w:ascii="宋体" w:hAnsi="宋体"/>
          <w:color w:val="000000"/>
          <w:szCs w:val="21"/>
          <w:highlight w:val="none"/>
          <w:lang w:val="en-US" w:eastAsia="zh-CN"/>
        </w:rPr>
        <w:t xml:space="preserve">的部分</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每低于1个百分点按照结算金额的千分之一进行核减</w:t>
      </w:r>
      <w:r>
        <w:rPr>
          <w:rFonts w:hint="eastAsia" w:ascii="宋体" w:hAnsi="宋体"/>
          <w:color w:val="000000"/>
          <w:szCs w:val="21"/>
          <w:highlight w:val="none"/>
        </w:rPr>
        <w:t xml:space="preserve">。如遇居民投诉或存在组织不作为导致舆情或重大问题产生，甲方有权扣减资金。</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5.乙方在项目执行期内应当遵循如下考核标准：</w:t>
      </w:r>
      <w:r>
        <w:rPr>
          <w:rFonts w:ascii="宋体" w:hAnsi="宋体"/>
          <w:color w:val="000000"/>
          <w:szCs w:val="21"/>
          <w:highlight w:val="none"/>
        </w:rPr>
      </w:r>
      <w:r/>
    </w:p>
    <w:p>
      <w:pPr>
        <w:pStyle w:val="971"/>
        <w:ind w:firstLine="420"/>
        <w:keepNext/>
        <w:pageBreakBefore w:val="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（1）被服务对象通过12345平台、信件和电话对养老护理人员在为老人服务态度、质量等方面问题的提出看法。如投诉</w:t>
      </w:r>
      <w:r>
        <w:rPr>
          <w:rFonts w:hint="eastAsia" w:ascii="宋体" w:hAnsi="宋体" w:cs="宋体"/>
          <w:color w:val="000000"/>
          <w:szCs w:val="21"/>
          <w:highlight w:val="none"/>
          <w:lang w:val="en-US" w:eastAsia="zh-CN"/>
        </w:rPr>
        <w:t xml:space="preserve">属实</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本</w:t>
      </w:r>
      <w:r>
        <w:rPr>
          <w:rFonts w:hint="eastAsia" w:ascii="宋体" w:hAnsi="宋体" w:cs="宋体"/>
          <w:color w:val="000000"/>
          <w:szCs w:val="21"/>
          <w:highlight w:val="none"/>
        </w:rPr>
        <w:t xml:space="preserve">工单</w:t>
      </w:r>
      <w:r>
        <w:rPr>
          <w:rFonts w:hint="eastAsia" w:ascii="宋体" w:hAnsi="宋体" w:cs="宋体"/>
          <w:color w:val="000000"/>
          <w:szCs w:val="21"/>
          <w:highlight w:val="none"/>
          <w:lang w:val="en-US" w:eastAsia="zh-CN"/>
        </w:rPr>
        <w:t xml:space="preserve">按无效工单核减</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1"/>
        <w:ind w:firstLine="420"/>
        <w:keepNext/>
        <w:pageBreakBefore w:val="0"/>
        <w:spacing w:line="5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（2）其他要求按照六合区社区居家养老服务相关监管办法执行。</w:t>
      </w:r>
      <w:r>
        <w:rPr>
          <w:rFonts w:hint="eastAsia" w:ascii="宋体" w:hAnsi="宋体" w:eastAsia="宋体" w:cs="宋体"/>
          <w:color w:val="000000"/>
          <w:szCs w:val="21"/>
          <w:highlight w:val="none"/>
          <w:lang w:val="en-US" w:eastAsia="zh-CN"/>
        </w:rPr>
      </w:r>
      <w:r/>
    </w:p>
    <w:p>
      <w:pPr>
        <w:pStyle w:val="971"/>
        <w:ind w:firstLine="422"/>
        <w:keepNext/>
        <w:pageBreakBefore w:val="0"/>
        <w:spacing w:line="5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第七条 合同款支付</w:t>
      </w:r>
      <w:r>
        <w:rPr>
          <w:rFonts w:hint="eastAsia" w:ascii="宋体" w:hAnsi="宋体" w:cs="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1、本合同项下所有款项均以人民币支付。</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2、以六合区智慧养老平台的服务数据为依据，以第三方考核合格数据结果为准，结合市、区两级拨付相关费用进度，审计结束后按照实际服务人数×服务时长×固定单价进行结算支付。</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第八条 违约责任</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1、如乙方不能按期交付服务的，承担违约责任，乙方在承担违约责任后，仍应继续履行合同规定的义务（甲方解除合同的除外）。甲方未能及时追究乙方的任何一项违约责任并不表明甲方放弃追究乙方该项或其他违约责任。</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2、乙方虚假承诺，或经检</w:t>
      </w:r>
      <w:r>
        <w:rPr>
          <w:rFonts w:hint="eastAsia" w:ascii="宋体" w:hAnsi="宋体"/>
          <w:color w:val="000000"/>
          <w:szCs w:val="21"/>
          <w:highlight w:val="none"/>
          <w:lang w:val="en-US" w:eastAsia="zh-CN"/>
        </w:rPr>
        <w:t xml:space="preserve">查</w:t>
      </w:r>
      <w:r>
        <w:rPr>
          <w:rFonts w:hint="eastAsia" w:ascii="宋体" w:hAnsi="宋体"/>
          <w:color w:val="000000"/>
          <w:szCs w:val="21"/>
          <w:highlight w:val="none"/>
        </w:rPr>
        <w:t xml:space="preserve">提供的服务不能满足</w:t>
      </w:r>
      <w:r>
        <w:rPr>
          <w:rFonts w:hint="eastAsia" w:ascii="宋体" w:hAnsi="宋体"/>
          <w:color w:val="000000"/>
          <w:szCs w:val="21"/>
          <w:highlight w:val="none"/>
          <w:lang w:val="en-US" w:eastAsia="zh-CN"/>
        </w:rPr>
        <w:t xml:space="preserve">磋商</w:t>
      </w:r>
      <w:r>
        <w:rPr>
          <w:rFonts w:hint="eastAsia" w:ascii="宋体" w:hAnsi="宋体"/>
          <w:color w:val="000000"/>
          <w:szCs w:val="21"/>
          <w:highlight w:val="none"/>
        </w:rPr>
        <w:t xml:space="preserve">文件要求，或是由于乙方的过错造成合同无法继续履行的，甲方有权视情采取通报批评或支付相应违约金等措施。</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3、乙方在开展项目中是安全责任主体，应充分预估、评判项目风险及落实好各项安全防范措施。</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4、乙方在街道、</w:t>
      </w:r>
      <w:r>
        <w:rPr>
          <w:rFonts w:hint="eastAsia" w:ascii="宋体" w:hAnsi="宋体"/>
          <w:color w:val="000000"/>
          <w:szCs w:val="21"/>
          <w:highlight w:val="none"/>
          <w:lang w:eastAsia="zh-CN"/>
        </w:rPr>
        <w:t xml:space="preserve">村（</w:t>
      </w:r>
      <w:r>
        <w:rPr>
          <w:rFonts w:hint="eastAsia" w:ascii="宋体" w:hAnsi="宋体"/>
          <w:color w:val="000000"/>
          <w:szCs w:val="21"/>
          <w:highlight w:val="none"/>
        </w:rPr>
        <w:t xml:space="preserve">社区</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发生的所有与第三方的债权债务、资金往来等矛盾纠纷均与甲方无关，甲方不承担任何责任，由乙方负全责，如因乙方责任给甲方造成损失，甲方有权向乙方追偿，因甲方追偿产生的律师费、差旅费、公证费等相关费用均由乙方承担。</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5、乙方在日常的各类计划、活动中，甲方已告知其做好安全防范措施，尽到了告知义务，凡乙方在日常工作活动中产生的安全事故、人身伤害事故，均由乙方承担全责，与甲方无关，甲方不承担任何责任，如因乙方责任给甲方造成损失，甲方有权向乙方追偿。</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rPr>
        <w:t xml:space="preserve">6、项目一经签订，不得分包、转包，不得调整，除不可抗力因素外，所有项目均应按照项目申报书确定的期限完成。</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rPr>
        <w:t xml:space="preserve">7、乙方严重违反《南京市居家社区养老服务实施办法》与相关规章制度的、严重失职对甲方的声誉和利益造成重大损害的、触犯国家法律被追究刑事责任的，甲方可以解除合同。</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rPr>
        <w:t xml:space="preserve">8、乙方如不履行义务，甲方有追究乙方相关经济责任和法律责任的权利，甲方可以书面解除本合同，且乙方应按照合同总价款的 10%支付违约金。</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rPr>
        <w:t xml:space="preserve">9、项目资金必须专款专用，不得虚报、冒领、截留、挪用或扩大开支范围。乙方应将该项资金单独核算，指定专人负责管理，严禁违规使用项目资金。如乙方存在以上情形，甲方有权解除合同，且乙方应按照合同总价款的 10%支付违约金。</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第九条 合同的变更和终止</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lang w:eastAsia="zh-TW"/>
        </w:rPr>
        <w:t xml:space="preserve">1</w:t>
      </w:r>
      <w:r>
        <w:rPr>
          <w:rFonts w:hint="eastAsia" w:ascii="宋体" w:hAnsi="宋体"/>
          <w:color w:val="000000"/>
          <w:szCs w:val="21"/>
          <w:highlight w:val="none"/>
        </w:rPr>
        <w:t xml:space="preserve">、除《政府采购法》第</w:t>
      </w:r>
      <w:r>
        <w:rPr>
          <w:rFonts w:ascii="宋体" w:hAnsi="宋体"/>
          <w:color w:val="000000"/>
          <w:szCs w:val="21"/>
          <w:highlight w:val="none"/>
          <w:lang w:eastAsia="zh-TW"/>
        </w:rPr>
        <w:t xml:space="preserve">50</w:t>
      </w:r>
      <w:r>
        <w:rPr>
          <w:rFonts w:hint="eastAsia" w:ascii="宋体" w:hAnsi="宋体"/>
          <w:color w:val="000000"/>
          <w:szCs w:val="21"/>
          <w:highlight w:val="none"/>
        </w:rPr>
        <w:t xml:space="preserve">条第二款规定及本合同约定的情形外，本合同一经签订，甲乙双方不得擅自变更、中止或终止合同。</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2、若乙方存在以下情形的，甲方有权解除合同，并要求乙方</w:t>
      </w:r>
      <w:r>
        <w:rPr>
          <w:rFonts w:hint="eastAsia" w:ascii="宋体" w:hAnsi="宋体"/>
          <w:color w:val="000000"/>
          <w:szCs w:val="21"/>
          <w:highlight w:val="none"/>
          <w:lang w:val="en-US" w:eastAsia="zh-CN"/>
        </w:rPr>
        <w:t xml:space="preserve">支付</w:t>
      </w:r>
      <w:r>
        <w:rPr>
          <w:rFonts w:hint="eastAsia" w:ascii="宋体" w:hAnsi="宋体"/>
          <w:color w:val="000000"/>
          <w:szCs w:val="21"/>
          <w:highlight w:val="none"/>
        </w:rPr>
        <w:t xml:space="preserve">合同</w:t>
      </w:r>
      <w:r>
        <w:rPr>
          <w:rFonts w:ascii="宋体" w:hAnsi="宋体"/>
          <w:color w:val="000000"/>
          <w:szCs w:val="21"/>
          <w:highlight w:val="none"/>
        </w:rPr>
        <w:t xml:space="preserve">总价款的</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0%违约金</w:t>
      </w:r>
      <w:r>
        <w:rPr>
          <w:rFonts w:hint="eastAsia" w:ascii="宋体" w:hAnsi="宋体"/>
          <w:color w:val="000000"/>
          <w:szCs w:val="21"/>
          <w:highlight w:val="none"/>
        </w:rPr>
        <w:t xml:space="preserve">。</w:t>
      </w:r>
      <w:r>
        <w:rPr>
          <w:rFonts w:ascii="宋体" w:hAnsi="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（1）不具备相应资质的；</w:t>
      </w:r>
      <w:r>
        <w:rPr>
          <w:rFonts w:ascii="宋体" w:hAnsi="宋体" w:cs="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）以各种方式记录虚假服务并以此作为政府补贴依据的；</w:t>
      </w:r>
      <w:r>
        <w:rPr>
          <w:rFonts w:ascii="宋体" w:hAnsi="宋体" w:cs="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）乙方或联合其他单位向老年人推销、销售保健品的；</w:t>
      </w:r>
      <w:r>
        <w:rPr>
          <w:rFonts w:ascii="宋体" w:hAnsi="宋体" w:cs="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）乙方或联合其他单位诈骗老人钱财的；</w:t>
      </w:r>
      <w:r>
        <w:rPr>
          <w:rFonts w:ascii="宋体" w:hAnsi="宋体" w:cs="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）使用本机构自行发行卡让老人充值的；</w:t>
      </w:r>
      <w:r>
        <w:rPr>
          <w:rFonts w:ascii="宋体" w:hAnsi="宋体" w:cs="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）乙方的上级单位（或母公司 )开展涉嫌诈骗或非法集资活动的；</w:t>
      </w:r>
      <w:r>
        <w:rPr>
          <w:rFonts w:ascii="宋体" w:hAnsi="宋体" w:cs="宋体"/>
          <w:color w:val="000000"/>
          <w:szCs w:val="21"/>
          <w:highlight w:val="none"/>
        </w:rPr>
      </w:r>
      <w:r/>
    </w:p>
    <w:p>
      <w:pPr>
        <w:pStyle w:val="971"/>
        <w:keepNext/>
        <w:pageBreakBefore w:val="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）有其他严重违背公益性养老服务方向的或违法违纪行为的。</w:t>
      </w:r>
      <w:r>
        <w:rPr>
          <w:rFonts w:ascii="宋体" w:hAnsi="宋体" w:cs="宋体"/>
          <w:color w:val="000000"/>
          <w:szCs w:val="21"/>
          <w:highlight w:val="none"/>
        </w:rPr>
      </w:r>
      <w:r/>
    </w:p>
    <w:p>
      <w:pPr>
        <w:pStyle w:val="971"/>
        <w:ind w:firstLine="420"/>
        <w:keepNext/>
        <w:pageBreakBefore w:val="0"/>
        <w:spacing w:line="560" w:lineRule="exact"/>
        <w:rPr>
          <w:color w:val="000000"/>
          <w:highlight w:val="none"/>
        </w:rPr>
      </w:pPr>
      <w:r>
        <w:rPr>
          <w:rFonts w:hint="eastAsia" w:ascii="宋体" w:hAnsi="宋体"/>
          <w:color w:val="000000"/>
          <w:szCs w:val="21"/>
          <w:highlight w:val="none"/>
        </w:rPr>
        <w:t xml:space="preserve">3、除发生法律规定的不能预见、不能避免并不能克服的客观情况外，甲乙双方不得放弃或拒绝履行合同。</w:t>
      </w:r>
      <w:r>
        <w:rPr>
          <w:color w:val="000000"/>
          <w:highlight w:val="none"/>
        </w:rPr>
      </w:r>
      <w:r/>
    </w:p>
    <w:p>
      <w:pPr>
        <w:pStyle w:val="971"/>
        <w:ind w:firstLine="422"/>
        <w:keepNext/>
        <w:pageBreakBefore w:val="0"/>
        <w:spacing w:line="560" w:lineRule="exact"/>
        <w:rPr>
          <w:rFonts w:ascii="宋体" w:hAnsi="宋体"/>
          <w:b/>
          <w:bCs/>
          <w:color w:val="000000"/>
          <w:szCs w:val="21"/>
          <w:highlight w:val="none"/>
          <w:lang w:eastAsia="zh-TW"/>
        </w:rPr>
      </w:pPr>
      <w:r>
        <w:rPr>
          <w:rFonts w:hint="eastAsia" w:ascii="宋体" w:hAnsi="宋体"/>
          <w:b/>
          <w:bCs/>
          <w:color w:val="000000"/>
          <w:szCs w:val="21"/>
          <w:highlight w:val="none"/>
        </w:rPr>
        <w:t xml:space="preserve">第十条 合同的转让</w:t>
      </w:r>
      <w:r>
        <w:rPr>
          <w:rFonts w:ascii="宋体" w:hAnsi="宋体"/>
          <w:b/>
          <w:bCs/>
          <w:color w:val="000000"/>
          <w:szCs w:val="21"/>
          <w:highlight w:val="none"/>
          <w:lang w:eastAsia="zh-TW"/>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乙方不得擅自转让其应履行的合同义务，凡是违反本条款的，一律视作乙方放弃本协议，甲方有权立即中止合同，给甲方带来的损失的甲方有权向乙方追偿。</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第十一条 争议的解决</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因履行本合同引起的或与本合同有关的争议，甲、乙双方应首先通过友好协商解决，如果协商不能解决争议，则采取向甲方所在地有管辖权的人民法院提起诉讼。</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第十二条 诚实信用</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乙方应诚实信用，严格按照竞争性磋商文件要求和响应承诺履行合同，不向甲方进行商业贿赂或者提供不正当利益。</w:t>
      </w:r>
      <w:r>
        <w:rPr>
          <w:rFonts w:ascii="宋体" w:hAnsi="宋体"/>
          <w:color w:val="000000"/>
          <w:szCs w:val="21"/>
          <w:highlight w:val="none"/>
        </w:rPr>
      </w:r>
      <w:r/>
    </w:p>
    <w:p>
      <w:pPr>
        <w:pStyle w:val="971"/>
        <w:ind w:firstLine="422"/>
        <w:keepNext/>
        <w:pageBreakBefore w:val="0"/>
        <w:spacing w:line="560" w:lineRule="exact"/>
        <w:rPr>
          <w:rFonts w:ascii="宋体" w:hAnsi="宋体"/>
          <w:b/>
          <w:bCs/>
          <w:color w:val="000000"/>
          <w:szCs w:val="21"/>
          <w:highlight w:val="none"/>
        </w:rPr>
      </w:pPr>
      <w:r>
        <w:rPr>
          <w:rFonts w:hint="eastAsia" w:ascii="宋体" w:hAnsi="宋体"/>
          <w:b/>
          <w:bCs/>
          <w:color w:val="000000"/>
          <w:szCs w:val="21"/>
          <w:highlight w:val="none"/>
        </w:rPr>
        <w:t xml:space="preserve">第十三条 合同生效及其他</w:t>
      </w:r>
      <w:r>
        <w:rPr>
          <w:rFonts w:ascii="宋体" w:hAnsi="宋体"/>
          <w:b/>
          <w:bCs/>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lang w:eastAsia="zh-TW"/>
        </w:rPr>
        <w:t xml:space="preserve">1</w:t>
      </w:r>
      <w:r>
        <w:rPr>
          <w:rFonts w:hint="eastAsia" w:ascii="宋体" w:hAnsi="宋体"/>
          <w:color w:val="000000"/>
          <w:szCs w:val="21"/>
          <w:highlight w:val="none"/>
        </w:rPr>
        <w:t xml:space="preserve">、本合同自签订之日起生效。</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lang w:eastAsia="zh-TW"/>
        </w:rPr>
        <w:t xml:space="preserve">2</w:t>
      </w:r>
      <w:r>
        <w:rPr>
          <w:rFonts w:hint="eastAsia" w:ascii="宋体" w:hAnsi="宋体"/>
          <w:color w:val="000000"/>
          <w:szCs w:val="21"/>
          <w:highlight w:val="none"/>
        </w:rPr>
        <w:t xml:space="preserve">、本合同一式</w:t>
      </w:r>
      <w:r>
        <w:rPr>
          <w:rFonts w:hint="eastAsia" w:ascii="宋体" w:hAnsi="宋体"/>
          <w:color w:val="000000"/>
          <w:szCs w:val="21"/>
          <w:highlight w:val="none"/>
          <w:lang w:val="en-US" w:eastAsia="zh-CN"/>
        </w:rPr>
        <w:t xml:space="preserve">肆</w:t>
      </w:r>
      <w:r>
        <w:rPr>
          <w:rFonts w:hint="eastAsia" w:ascii="宋体" w:hAnsi="宋体"/>
          <w:color w:val="000000"/>
          <w:szCs w:val="21"/>
          <w:highlight w:val="none"/>
        </w:rPr>
        <w:t xml:space="preserve">份，甲乙双方各执贰份。本合同未尽事宜，甲乙双方可另行签订补充协议。</w:t>
      </w:r>
      <w:r>
        <w:rPr>
          <w:rFonts w:ascii="宋体" w:hAnsi="宋体"/>
          <w:color w:val="000000"/>
          <w:szCs w:val="21"/>
          <w:highlight w:val="none"/>
        </w:rPr>
      </w:r>
      <w:r/>
    </w:p>
    <w:p>
      <w:pPr>
        <w:pStyle w:val="971"/>
        <w:ind w:firstLine="420"/>
        <w:keepNext/>
        <w:pageBreakBefore w:val="0"/>
        <w:spacing w:line="560" w:lineRule="exact"/>
        <w:rPr>
          <w:rFonts w:ascii="宋体" w:hAnsi="宋体"/>
          <w:color w:val="000000"/>
          <w:szCs w:val="21"/>
          <w:highlight w:val="none"/>
        </w:rPr>
      </w:pPr>
      <w:r>
        <w:rPr>
          <w:rFonts w:ascii="宋体" w:hAnsi="宋体"/>
          <w:color w:val="000000"/>
          <w:szCs w:val="21"/>
          <w:highlight w:val="none"/>
          <w:lang w:eastAsia="zh-TW"/>
        </w:rPr>
        <w:t xml:space="preserve">3</w:t>
      </w:r>
      <w:r>
        <w:rPr>
          <w:rFonts w:hint="eastAsia" w:ascii="宋体" w:hAnsi="宋体"/>
          <w:color w:val="000000"/>
          <w:szCs w:val="21"/>
          <w:highlight w:val="none"/>
        </w:rPr>
        <w:t xml:space="preserve">、本合同应按照中华人民共和国的现行法律进行解释。</w:t>
      </w:r>
      <w:r>
        <w:rPr>
          <w:rFonts w:ascii="宋体" w:hAnsi="宋体"/>
          <w:color w:val="000000"/>
          <w:szCs w:val="21"/>
          <w:highlight w:val="none"/>
        </w:rPr>
      </w:r>
      <w:r/>
    </w:p>
    <w:p>
      <w:pPr>
        <w:pStyle w:val="971"/>
        <w:jc w:val="left"/>
        <w:keepNext/>
        <w:pageBreakBefore w:val="0"/>
        <w:spacing w:line="560" w:lineRule="exact"/>
        <w:widowControl/>
        <w:rPr>
          <w:rFonts w:ascii="宋体" w:hAnsi="宋体"/>
          <w:color w:val="000000"/>
          <w:szCs w:val="21"/>
          <w:highlight w:val="none"/>
        </w:rPr>
      </w:pPr>
      <w:r>
        <w:rPr>
          <w:rFonts w:hint="eastAsia" w:ascii="宋体" w:hAnsi="宋体"/>
          <w:color w:val="000000"/>
          <w:szCs w:val="21"/>
          <w:highlight w:val="none"/>
        </w:rPr>
        <w:t xml:space="preserve">甲方（采购人）：（盖章）                   乙方（供应商）：（盖章）</w:t>
      </w:r>
      <w:r>
        <w:rPr>
          <w:rFonts w:ascii="宋体" w:hAnsi="宋体"/>
          <w:color w:val="000000"/>
          <w:szCs w:val="21"/>
          <w:highlight w:val="none"/>
        </w:rPr>
      </w:r>
      <w:r/>
    </w:p>
    <w:p>
      <w:pPr>
        <w:pStyle w:val="971"/>
        <w:keepNext/>
        <w:pageBreakBefore w:val="0"/>
        <w:spacing w:line="560" w:lineRule="exact"/>
        <w:rPr>
          <w:rFonts w:ascii="宋体" w:hAnsi="宋体"/>
          <w:color w:val="000000"/>
          <w:szCs w:val="21"/>
          <w:highlight w:val="none"/>
        </w:rPr>
      </w:pPr>
      <w:r>
        <w:rPr>
          <w:rFonts w:hint="eastAsia" w:ascii="宋体" w:hAnsi="宋体"/>
          <w:color w:val="000000"/>
          <w:szCs w:val="21"/>
          <w:highlight w:val="none"/>
        </w:rPr>
        <w:t xml:space="preserve">代表人：                                  代表人：</w:t>
      </w:r>
      <w:r>
        <w:rPr>
          <w:rFonts w:ascii="宋体" w:hAnsi="宋体"/>
          <w:color w:val="000000"/>
          <w:szCs w:val="21"/>
          <w:highlight w:val="none"/>
        </w:rPr>
      </w:r>
      <w:r/>
    </w:p>
    <w:p>
      <w:pPr>
        <w:pStyle w:val="971"/>
        <w:jc w:val="left"/>
        <w:keepNext/>
        <w:pageBreakBefore w:val="0"/>
        <w:spacing w:line="560" w:lineRule="exact"/>
        <w:widowControl/>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 </w:t>
      </w:r>
      <w:r>
        <w:rPr>
          <w:rFonts w:ascii="宋体" w:hAnsi="宋体"/>
          <w:color w:val="000000"/>
          <w:szCs w:val="21"/>
          <w:highlight w:val="none"/>
        </w:rPr>
        <w:t xml:space="preserve">                     </w:t>
      </w: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71"/>
        <w:jc w:val="center"/>
        <w:keepNext/>
        <w:pageBreakBefore w:val="0"/>
        <w:spacing w:before="145" w:after="145"/>
        <w:rPr>
          <w:rFonts w:hint="eastAsia" w:ascii="宋体" w:hAnsi="宋体"/>
          <w:b/>
          <w:color w:val="000000"/>
          <w:sz w:val="30"/>
          <w:szCs w:val="21"/>
          <w:highlight w:val="none"/>
        </w:rPr>
        <w:outlineLvl w:val="0"/>
      </w:pPr>
      <w:r>
        <w:rPr>
          <w:rFonts w:hint="eastAsia" w:ascii="宋体" w:hAnsi="宋体"/>
          <w:b/>
          <w:color w:val="000000"/>
          <w:sz w:val="30"/>
          <w:szCs w:val="21"/>
          <w:highlight w:val="none"/>
        </w:rPr>
      </w:r>
      <w:r/>
    </w:p>
    <w:p>
      <w:pPr>
        <w:pStyle w:val="971"/>
        <w:jc w:val="center"/>
        <w:keepNext/>
        <w:pageBreakBefore w:val="0"/>
        <w:spacing w:before="145" w:after="145"/>
        <w:rPr>
          <w:rFonts w:hint="eastAsia" w:ascii="宋体" w:hAnsi="宋体"/>
          <w:b/>
          <w:color w:val="000000"/>
          <w:sz w:val="30"/>
          <w:szCs w:val="21"/>
          <w:highlight w:val="none"/>
        </w:rPr>
        <w:outlineLvl w:val="0"/>
      </w:pPr>
      <w:r>
        <w:rPr>
          <w:rFonts w:hint="eastAsia" w:ascii="宋体" w:hAnsi="宋体"/>
          <w:b/>
          <w:color w:val="000000"/>
          <w:sz w:val="30"/>
          <w:szCs w:val="21"/>
          <w:highlight w:val="none"/>
        </w:rPr>
        <w:t xml:space="preserve">《*******合同》补充协议（合同附件）</w:t>
      </w:r>
      <w:r>
        <w:rPr>
          <w:rFonts w:hint="eastAsia" w:ascii="宋体" w:hAnsi="宋体"/>
          <w:b/>
          <w:color w:val="000000"/>
          <w:sz w:val="30"/>
          <w:szCs w:val="21"/>
          <w:highlight w:val="none"/>
        </w:rPr>
      </w:r>
      <w:r/>
    </w:p>
    <w:p>
      <w:pPr>
        <w:pStyle w:val="1013"/>
        <w:jc w:val="left"/>
        <w:keepNext/>
        <w:pageBreakBefore w:val="0"/>
        <w:spacing w:before="120" w:after="120"/>
        <w:rPr>
          <w:rFonts w:hAnsi="宋体"/>
          <w:color w:val="000000"/>
          <w:sz w:val="24"/>
          <w:szCs w:val="24"/>
          <w:highlight w:val="none"/>
        </w:rPr>
      </w:pPr>
      <w:r>
        <w:rPr>
          <w:rFonts w:hint="eastAsia" w:hAnsi="宋体"/>
          <w:color w:val="000000"/>
          <w:sz w:val="24"/>
          <w:szCs w:val="24"/>
          <w:highlight w:val="none"/>
        </w:rPr>
        <w:t xml:space="preserve">    如遇磋商文件及合同未约定事项，双方可友好协商签订补充协议。</w:t>
      </w:r>
      <w:r>
        <w:rPr>
          <w:rFonts w:hAnsi="宋体"/>
          <w:color w:val="000000"/>
          <w:sz w:val="24"/>
          <w:szCs w:val="24"/>
          <w:highlight w:val="none"/>
        </w:rPr>
      </w:r>
      <w:r/>
    </w:p>
    <w:p>
      <w:pPr>
        <w:pStyle w:val="971"/>
        <w:jc w:val="center"/>
        <w:keepNext/>
        <w:pageBreakBefore w:val="0"/>
        <w:spacing w:line="360" w:lineRule="auto"/>
        <w:shd w:val="clear" w:color="auto" w:fill="auto"/>
        <w:widowControl/>
        <w:rPr>
          <w:rFonts w:hint="eastAsia" w:ascii="宋体" w:hAnsi="宋体"/>
          <w:b/>
          <w:color w:val="000000"/>
          <w:sz w:val="52"/>
          <w:szCs w:val="52"/>
          <w:highlight w:val="none"/>
          <w:lang w:eastAsia="zh-CN"/>
        </w:rPr>
      </w:pPr>
      <w:r/>
      <w:bookmarkEnd w:id="0"/>
      <w:r/>
      <w:bookmarkEnd w:id="1"/>
      <w:r/>
      <w:bookmarkEnd w:id="2"/>
      <w:r/>
      <w:bookmarkEnd w:id="3"/>
      <w:r/>
      <w:bookmarkEnd w:id="4"/>
      <w:r/>
      <w:bookmarkEnd w:id="5"/>
      <w:r/>
      <w:bookmarkStart w:id="121" w:name="_Toc20823346"/>
      <w:r/>
      <w:bookmarkStart w:id="122" w:name="_Toc16938590"/>
      <w:r/>
      <w:bookmarkStart w:id="123" w:name="_Toc120614244"/>
      <w:r/>
      <w:bookmarkStart w:id="124" w:name="_Hlt16619350"/>
      <w:r/>
      <w:bookmarkStart w:id="125" w:name="_Toc479757211"/>
      <w:r/>
      <w:bookmarkStart w:id="126" w:name="_Toc462564139"/>
      <w:r>
        <w:rPr>
          <w:rFonts w:hint="eastAsia" w:ascii="宋体" w:hAnsi="宋体"/>
          <w:b/>
          <w:color w:val="000000"/>
          <w:sz w:val="52"/>
          <w:szCs w:val="52"/>
          <w:highlight w:val="none"/>
          <w:lang w:eastAsia="zh-CN"/>
        </w:rPr>
      </w:r>
      <w:r/>
    </w:p>
    <w:p>
      <w:pPr>
        <w:pStyle w:val="971"/>
        <w:jc w:val="center"/>
        <w:keepNext/>
        <w:pageBreakBefore w:val="0"/>
        <w:spacing w:line="360" w:lineRule="auto"/>
        <w:shd w:val="clear" w:color="auto" w:fill="auto"/>
        <w:widowControl/>
        <w:rPr>
          <w:rFonts w:hint="eastAsia" w:ascii="宋体" w:hAnsi="宋体"/>
          <w:b/>
          <w:color w:val="000000"/>
          <w:sz w:val="52"/>
          <w:szCs w:val="52"/>
          <w:highlight w:val="none"/>
          <w:lang w:eastAsia="zh-CN"/>
        </w:rPr>
      </w:pPr>
      <w:r>
        <w:rPr>
          <w:rFonts w:hint="eastAsia" w:ascii="宋体" w:hAnsi="宋体"/>
          <w:b/>
          <w:color w:val="000000"/>
          <w:sz w:val="52"/>
          <w:szCs w:val="52"/>
          <w:highlight w:val="none"/>
          <w:lang w:eastAsia="zh-CN"/>
        </w:rPr>
      </w:r>
      <w:r/>
    </w:p>
    <w:p>
      <w:pPr>
        <w:pStyle w:val="1102"/>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highlight w:val="none"/>
        </w:rPr>
      </w:pPr>
      <w:r/>
      <w:bookmarkEnd w:id="121"/>
      <w:r/>
      <w:bookmarkEnd w:id="122"/>
      <w:r/>
      <w:bookmarkEnd w:id="123"/>
      <w:r/>
      <w:bookmarkEnd w:id="124"/>
      <w:r/>
      <w:bookmarkStart w:id="127" w:name="_Toc49090575"/>
      <w:r/>
      <w:bookmarkStart w:id="128" w:name="_Toc26554093"/>
      <w:r>
        <w:rPr>
          <w:rFonts w:hint="eastAsia" w:ascii="方正小标宋简体" w:hAnsi="方正小标宋简体" w:eastAsia="方正小标宋简体" w:cs="方正小标宋简体"/>
          <w:color w:val="000000"/>
          <w:sz w:val="36"/>
          <w:szCs w:val="36"/>
          <w:highlight w:val="none"/>
        </w:rPr>
        <w:br w:type="column"/>
      </w:r>
      <w:r>
        <w:rPr>
          <w:rFonts w:hint="eastAsia" w:ascii="方正小标宋简体" w:hAnsi="方正小标宋简体" w:eastAsia="方正小标宋简体" w:cs="方正小标宋简体"/>
          <w:color w:val="000000"/>
          <w:sz w:val="36"/>
          <w:szCs w:val="36"/>
          <w:highlight w:val="none"/>
        </w:rPr>
        <w:t xml:space="preserve">第四章  采购需求</w:t>
      </w:r>
      <w:r>
        <w:rPr>
          <w:rFonts w:hint="eastAsia" w:ascii="方正小标宋简体" w:hAnsi="方正小标宋简体" w:eastAsia="方正小标宋简体" w:cs="方正小标宋简体"/>
          <w:color w:val="000000"/>
          <w:sz w:val="36"/>
          <w:szCs w:val="36"/>
          <w:highlight w:val="none"/>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服务对象及类型：具有本街道户籍且常住的老年人,按人员类别和能力状况。照护服务对象为政府养老扶助对象5种类型(低保、边缘、特困、计生特扶、百岁老人)以及80周岁以上社会老人。</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p>
      <w:pPr>
        <w:pStyle w:val="1004"/>
        <w:ind w:firstLine="480"/>
        <w:keepNext/>
        <w:pageBreakBefore w:val="0"/>
        <w:spacing w:line="24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1.服务人员：</w:t>
      </w:r>
      <w:r>
        <w:rPr>
          <w:rFonts w:ascii="宋体" w:hAnsi="宋体" w:eastAsia="宋体" w:cs="Times New Roman"/>
          <w:color w:val="000000"/>
          <w:sz w:val="24"/>
          <w:szCs w:val="24"/>
          <w:highlight w:val="none"/>
          <w:lang w:val="en-US" w:eastAsia="zh-CN" w:bidi="ar-SA"/>
        </w:rPr>
      </w:r>
      <w:r/>
    </w:p>
    <w:tbl>
      <w:tblPr>
        <w:tblStyle w:val="1045"/>
        <w:tblW w:w="90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70"/>
        <w:gridCol w:w="3780"/>
        <w:gridCol w:w="1335"/>
        <w:gridCol w:w="1834"/>
      </w:tblGrid>
      <w:tr>
        <w:trPr>
          <w:trHeight w:val="599"/>
        </w:trPr>
        <w:tc>
          <w:tcPr>
            <w:shd w:val="clear" w:color="auto" w:fill="bebebe"/>
            <w:tcW w:w="906"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分包号</w:t>
            </w:r>
            <w:r>
              <w:rPr>
                <w:rFonts w:hint="eastAsia" w:ascii="宋体" w:hAnsi="宋体" w:eastAsia="宋体" w:cs="宋体"/>
                <w:b/>
                <w:bCs/>
                <w:color w:val="000000"/>
                <w:sz w:val="21"/>
                <w:szCs w:val="21"/>
                <w:highlight w:val="none"/>
                <w:lang w:val="zh-CN"/>
              </w:rPr>
            </w:r>
            <w:r/>
          </w:p>
        </w:tc>
        <w:tc>
          <w:tcPr>
            <w:shd w:val="clear" w:color="auto" w:fill="bebebe"/>
            <w:tcW w:w="117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实施区域</w:t>
            </w:r>
            <w:r>
              <w:rPr>
                <w:rFonts w:hint="eastAsia" w:ascii="宋体" w:hAnsi="宋体" w:eastAsia="宋体" w:cs="宋体"/>
                <w:b/>
                <w:bCs/>
                <w:color w:val="000000"/>
                <w:sz w:val="21"/>
                <w:szCs w:val="21"/>
                <w:highlight w:val="none"/>
                <w:lang w:val="zh-CN"/>
              </w:rPr>
            </w:r>
            <w:r/>
          </w:p>
        </w:tc>
        <w:tc>
          <w:tcPr>
            <w:shd w:val="clear" w:color="auto" w:fill="bebebe"/>
            <w:tcW w:w="378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服务社区</w:t>
            </w:r>
            <w:r>
              <w:rPr>
                <w:rFonts w:hint="eastAsia" w:ascii="宋体" w:hAnsi="宋体" w:eastAsia="宋体" w:cs="宋体"/>
                <w:b/>
                <w:bCs/>
                <w:color w:val="000000"/>
                <w:sz w:val="21"/>
                <w:szCs w:val="21"/>
                <w:highlight w:val="none"/>
                <w:lang w:val="zh-CN"/>
              </w:rPr>
            </w:r>
            <w:r/>
          </w:p>
        </w:tc>
        <w:tc>
          <w:tcPr>
            <w:shd w:val="clear" w:color="auto" w:fill="bebebe"/>
            <w:tcW w:w="1335"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服务人数</w:t>
            </w:r>
            <w:r>
              <w:rPr>
                <w:rFonts w:hint="eastAsia" w:ascii="宋体" w:hAnsi="宋体" w:eastAsia="宋体" w:cs="宋体"/>
                <w:b/>
                <w:bCs/>
                <w:color w:val="000000"/>
                <w:sz w:val="21"/>
                <w:szCs w:val="21"/>
                <w:highlight w:val="none"/>
                <w:lang w:val="zh-CN"/>
              </w:rPr>
            </w:r>
            <w:r/>
          </w:p>
        </w:tc>
        <w:tc>
          <w:tcPr>
            <w:shd w:val="clear" w:color="auto" w:fill="bebebe"/>
            <w:tcW w:w="1834"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最高限价（万元）</w:t>
            </w:r>
            <w:r>
              <w:rPr>
                <w:rFonts w:hint="eastAsia" w:ascii="宋体" w:hAnsi="宋体" w:eastAsia="宋体" w:cs="宋体"/>
                <w:b/>
                <w:bCs/>
                <w:color w:val="000000"/>
                <w:sz w:val="21"/>
                <w:szCs w:val="21"/>
                <w:highlight w:val="none"/>
                <w:lang w:val="zh-CN"/>
              </w:rPr>
            </w:r>
            <w:r/>
          </w:p>
        </w:tc>
      </w:tr>
      <w:tr>
        <w:trPr>
          <w:trHeight w:val="745"/>
        </w:trPr>
        <w:tc>
          <w:tcPr>
            <w:tcW w:w="906"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17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东沟片</w:t>
            </w:r>
            <w:r>
              <w:rPr>
                <w:rFonts w:hint="eastAsia" w:ascii="宋体" w:hAnsi="宋体" w:eastAsia="宋体" w:cs="宋体"/>
                <w:color w:val="000000"/>
                <w:sz w:val="21"/>
                <w:szCs w:val="21"/>
                <w:highlight w:val="none"/>
                <w:lang w:val="zh-CN"/>
              </w:rPr>
            </w:r>
            <w:r/>
          </w:p>
        </w:tc>
        <w:tc>
          <w:tcPr>
            <w:tcW w:w="3780" w:type="dxa"/>
            <w:vAlign w:val="center"/>
            <w:textDirection w:val="lrTb"/>
            <w:noWrap w:val="false"/>
          </w:tcPr>
          <w:p>
            <w:pPr>
              <w:pStyle w:val="971"/>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color w:val="000000"/>
                <w:sz w:val="21"/>
                <w:szCs w:val="21"/>
                <w:highlight w:val="none"/>
                <w:lang w:val="en-US" w:eastAsia="zh-CN" w:bidi="ar-SA"/>
              </w:rPr>
              <w:t xml:space="preserve">东沟中心社区、平原村、孙赵村、大河口村、团结村</w:t>
            </w:r>
            <w:r>
              <w:rPr>
                <w:rFonts w:hint="eastAsia" w:ascii="宋体" w:hAnsi="宋体" w:eastAsia="宋体" w:cs="宋体"/>
                <w:color w:val="000000"/>
                <w:sz w:val="21"/>
                <w:szCs w:val="21"/>
                <w:highlight w:val="none"/>
                <w:lang w:val="zh-CN" w:eastAsia="zh-CN" w:bidi="ar-SA"/>
              </w:rPr>
            </w:r>
            <w:r/>
          </w:p>
        </w:tc>
        <w:tc>
          <w:tcPr>
            <w:tcW w:w="1335" w:type="dxa"/>
            <w:vAlign w:val="center"/>
            <w:textDirection w:val="lrTb"/>
            <w:noWrap w:val="false"/>
          </w:tcPr>
          <w:p>
            <w:pPr>
              <w:pStyle w:val="971"/>
              <w:jc w:val="center"/>
              <w:keepLines w:val="0"/>
              <w:keepNext/>
              <w:pageBreakBefore w:val="0"/>
              <w:widowControl/>
              <w:rPr>
                <w:rFonts w:ascii="宋体" w:hAnsi="宋体" w:eastAsia="宋体" w:cs="宋体"/>
                <w:color w:val="000000"/>
                <w:sz w:val="22"/>
                <w:highlight w:val="none"/>
                <w:lang w:val="en-US" w:eastAsia="zh-CN"/>
              </w:rPr>
              <w:suppressLineNumbers w:val="0"/>
            </w:pPr>
            <w:r>
              <w:rPr>
                <w:rFonts w:hint="eastAsia" w:ascii="宋体" w:hAnsi="宋体" w:eastAsia="宋体" w:cs="宋体"/>
                <w:color w:val="000000"/>
                <w:sz w:val="22"/>
                <w:highlight w:val="none"/>
                <w:lang w:val="en-US" w:eastAsia="zh-CN"/>
              </w:rPr>
              <w:t xml:space="preserve">1300</w:t>
            </w:r>
            <w:r>
              <w:rPr>
                <w:rFonts w:ascii="宋体" w:hAnsi="宋体" w:eastAsia="宋体" w:cs="宋体"/>
                <w:color w:val="000000"/>
                <w:sz w:val="22"/>
                <w:highlight w:val="none"/>
                <w:lang w:val="en-US" w:eastAsia="zh-CN"/>
              </w:rPr>
            </w:r>
            <w:r/>
          </w:p>
        </w:tc>
        <w:tc>
          <w:tcPr>
            <w:tcW w:w="1834"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en-US"/>
              </w:rPr>
              <w:t xml:space="preserve">100</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rPr>
              <w:t xml:space="preserve">26432</w:t>
            </w:r>
            <w:r>
              <w:rPr>
                <w:rFonts w:hint="eastAsia" w:ascii="宋体" w:hAnsi="宋体" w:eastAsia="宋体" w:cs="宋体"/>
                <w:color w:val="000000"/>
                <w:sz w:val="21"/>
                <w:szCs w:val="21"/>
                <w:highlight w:val="none"/>
                <w:lang w:val="zh-CN"/>
              </w:rPr>
            </w:r>
            <w:r/>
          </w:p>
        </w:tc>
      </w:tr>
      <w:tr>
        <w:trPr>
          <w:trHeight w:val="768"/>
        </w:trPr>
        <w:tc>
          <w:tcPr>
            <w:tcW w:w="906"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r>
            <w:r/>
          </w:p>
        </w:tc>
        <w:tc>
          <w:tcPr>
            <w:tcW w:w="1170"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龙袍片</w:t>
            </w:r>
            <w:r>
              <w:rPr>
                <w:rFonts w:hint="eastAsia" w:ascii="宋体" w:hAnsi="宋体" w:eastAsia="宋体" w:cs="宋体"/>
                <w:color w:val="000000"/>
                <w:sz w:val="21"/>
                <w:szCs w:val="21"/>
                <w:highlight w:val="none"/>
                <w:lang w:val="zh-CN"/>
              </w:rPr>
            </w:r>
            <w:r/>
          </w:p>
        </w:tc>
        <w:tc>
          <w:tcPr>
            <w:tcW w:w="3780" w:type="dxa"/>
            <w:vAlign w:val="center"/>
            <w:textDirection w:val="lrTb"/>
            <w:noWrap w:val="false"/>
          </w:tcPr>
          <w:p>
            <w:pPr>
              <w:pStyle w:val="971"/>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color w:val="000000"/>
                <w:sz w:val="21"/>
                <w:szCs w:val="21"/>
                <w:highlight w:val="none"/>
                <w:lang w:val="en-US" w:eastAsia="zh-CN" w:bidi="ar-SA"/>
              </w:rPr>
              <w:t xml:space="preserve">新城社区、楼子社区、渔樵社区、新桥社区、长江社区、赵坝村</w:t>
            </w:r>
            <w:r>
              <w:rPr>
                <w:rFonts w:hint="eastAsia" w:ascii="宋体" w:hAnsi="宋体" w:eastAsia="宋体" w:cs="宋体"/>
                <w:color w:val="000000"/>
                <w:sz w:val="21"/>
                <w:szCs w:val="21"/>
                <w:highlight w:val="none"/>
                <w:lang w:val="zh-CN" w:eastAsia="zh-CN" w:bidi="ar-SA"/>
              </w:rPr>
            </w:r>
            <w:r/>
          </w:p>
        </w:tc>
        <w:tc>
          <w:tcPr>
            <w:tcW w:w="1335" w:type="dxa"/>
            <w:vAlign w:val="center"/>
            <w:textDirection w:val="lrTb"/>
            <w:noWrap w:val="false"/>
          </w:tcPr>
          <w:p>
            <w:pPr>
              <w:pStyle w:val="971"/>
              <w:jc w:val="center"/>
              <w:keepLines w:val="0"/>
              <w:keepNext/>
              <w:pageBreakBefore w:val="0"/>
              <w:widowControl/>
              <w:rPr>
                <w:rFonts w:ascii="宋体" w:hAnsi="宋体" w:eastAsia="宋体" w:cs="宋体"/>
                <w:color w:val="000000"/>
                <w:sz w:val="22"/>
                <w:highlight w:val="none"/>
                <w:lang w:val="en-US"/>
              </w:rPr>
              <w:suppressLineNumbers w:val="0"/>
            </w:pPr>
            <w:r>
              <w:rPr>
                <w:rFonts w:hint="eastAsia" w:ascii="宋体" w:hAnsi="宋体" w:eastAsia="宋体" w:cs="宋体"/>
                <w:i w:val="0"/>
                <w:color w:val="000000"/>
                <w:sz w:val="24"/>
                <w:szCs w:val="24"/>
                <w:highlight w:val="none"/>
                <w:u w:val="none"/>
                <w:lang w:val="en-US" w:eastAsia="zh-CN" w:bidi="ar"/>
              </w:rPr>
              <w:t xml:space="preserve">1400</w:t>
            </w:r>
            <w:r>
              <w:rPr>
                <w:rFonts w:ascii="宋体" w:hAnsi="宋体" w:eastAsia="宋体" w:cs="宋体"/>
                <w:color w:val="000000"/>
                <w:sz w:val="22"/>
                <w:highlight w:val="none"/>
                <w:lang w:val="en-US"/>
              </w:rPr>
            </w:r>
            <w:r/>
          </w:p>
        </w:tc>
        <w:tc>
          <w:tcPr>
            <w:tcW w:w="1834" w:type="dxa"/>
            <w:vAlign w:val="center"/>
            <w:textDirection w:val="lrTb"/>
            <w:noWrap w:val="false"/>
          </w:tcPr>
          <w:p>
            <w:pPr>
              <w:pStyle w:val="1006"/>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en-US"/>
              </w:rPr>
              <w:t xml:space="preserve">95</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rPr>
              <w:t xml:space="preserve">43456</w:t>
            </w:r>
            <w:r>
              <w:rPr>
                <w:rFonts w:hint="eastAsia" w:ascii="宋体" w:hAnsi="宋体" w:eastAsia="宋体" w:cs="宋体"/>
                <w:color w:val="000000"/>
                <w:sz w:val="21"/>
                <w:szCs w:val="21"/>
                <w:highlight w:val="none"/>
                <w:lang w:val="zh-CN"/>
              </w:rPr>
            </w:r>
            <w:r/>
          </w:p>
        </w:tc>
      </w:tr>
      <w:tr>
        <w:trPr>
          <w:trHeight w:val="926"/>
        </w:trPr>
        <w:tc>
          <w:tcPr>
            <w:gridSpan w:val="5"/>
            <w:tcW w:w="9025" w:type="dxa"/>
            <w:vAlign w:val="center"/>
            <w:textDirection w:val="lrTb"/>
            <w:noWrap w:val="false"/>
          </w:tcPr>
          <w:p>
            <w:pPr>
              <w:pStyle w:val="971"/>
              <w:jc w:val="left"/>
              <w:keepNext/>
              <w:pageBreakBefore w:val="0"/>
              <w:spacing w:line="264"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备注：（1）</w:t>
            </w:r>
            <w:r>
              <w:rPr>
                <w:rFonts w:hint="eastAsia" w:ascii="宋体" w:hAnsi="宋体"/>
                <w:b/>
                <w:bCs/>
                <w:color w:val="000000"/>
                <w:sz w:val="22"/>
                <w:szCs w:val="22"/>
                <w:highlight w:val="none"/>
                <w:lang w:val="en-US" w:eastAsia="zh-CN"/>
              </w:rPr>
              <w:t xml:space="preserve">服</w:t>
            </w:r>
            <w:r>
              <w:rPr>
                <w:rFonts w:hint="eastAsia" w:ascii="宋体" w:hAnsi="宋体"/>
                <w:b/>
                <w:bCs/>
                <w:color w:val="000000"/>
                <w:sz w:val="22"/>
                <w:szCs w:val="22"/>
                <w:highlight w:val="none"/>
                <w:lang w:val="zh-CN"/>
              </w:rPr>
              <w:t xml:space="preserve">务人数为暂定人数，如后期实际服务人数超过暂定人数，成交人与招标人签订补充协议，补充协议的采购金额不得超过原合同采购金额的百分之十。在合同期间，如遇南京市或本区对于政府购买居家养老服务出台新的服务标准文件或通知，按照新文件或通知实施时间及标准执行。</w:t>
            </w:r>
            <w:r>
              <w:rPr>
                <w:rFonts w:hint="eastAsia" w:ascii="宋体" w:hAnsi="宋体"/>
                <w:b/>
                <w:bCs/>
                <w:color w:val="000000"/>
                <w:sz w:val="22"/>
                <w:szCs w:val="22"/>
                <w:highlight w:val="none"/>
                <w:lang w:val="zh-CN"/>
              </w:rPr>
            </w:r>
            <w:r/>
          </w:p>
          <w:p>
            <w:pPr>
              <w:pStyle w:val="971"/>
              <w:ind w:firstLine="480"/>
              <w:jc w:val="left"/>
              <w:keepNext/>
              <w:pageBreakBefore w:val="0"/>
              <w:spacing w:line="264" w:lineRule="auto"/>
              <w:rPr>
                <w:rFonts w:hint="eastAsia" w:ascii="宋体" w:hAnsi="宋体" w:eastAsia="宋体" w:cs="宋体"/>
                <w:b/>
                <w:bCs/>
                <w:color w:val="000000"/>
                <w:sz w:val="21"/>
                <w:szCs w:val="21"/>
                <w:highlight w:val="none"/>
                <w:lang w:val="zh-CN"/>
              </w:rPr>
            </w:pPr>
            <w:r>
              <w:rPr>
                <w:rFonts w:hint="eastAsia" w:ascii="宋体" w:hAnsi="宋体"/>
                <w:b/>
                <w:bCs/>
                <w:color w:val="000000"/>
                <w:sz w:val="22"/>
                <w:szCs w:val="22"/>
                <w:highlight w:val="none"/>
                <w:lang w:val="zh-CN"/>
              </w:rPr>
              <w:t xml:space="preserve">（2）最终以成交单位实际服务人数×服务时长，按单价进行结算。</w:t>
            </w:r>
            <w:r>
              <w:rPr>
                <w:rFonts w:hint="eastAsia" w:ascii="宋体" w:hAnsi="宋体" w:eastAsia="宋体" w:cs="宋体"/>
                <w:b/>
                <w:bCs/>
                <w:color w:val="000000"/>
                <w:sz w:val="21"/>
                <w:szCs w:val="21"/>
                <w:highlight w:val="none"/>
                <w:lang w:val="zh-CN"/>
              </w:rPr>
            </w:r>
            <w:r/>
          </w:p>
        </w:tc>
      </w:tr>
    </w:tbl>
    <w:p>
      <w:pPr>
        <w:pStyle w:val="971"/>
        <w:ind w:firstLine="480"/>
        <w:keepNext/>
        <w:pageBreakBefore w:val="0"/>
        <w:spacing w:line="26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2.单价结算标准：政府购买居家上门照护服务财政补贴标准，2025年拟执行单价为31.2元/人/小时。如后期政策调整，以最新政策标准进行相应调整。</w:t>
      </w:r>
      <w:r>
        <w:rPr>
          <w:rFonts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合同履行期限：一年。</w:t>
      </w:r>
      <w:r>
        <w:rPr>
          <w:rFonts w:hint="eastAsia" w:ascii="宋体" w:hAnsi="宋体" w:cs="宋体"/>
          <w:color w:val="000000"/>
          <w:sz w:val="24"/>
          <w:szCs w:val="24"/>
          <w:highlight w:val="none"/>
          <w:lang w:val="zh-CN"/>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color w:val="000000"/>
          <w:sz w:val="24"/>
          <w:szCs w:val="24"/>
          <w:highlight w:val="none"/>
        </w:rPr>
        <w:t xml:space="preserve">、服务内容（适用于全部分包）</w:t>
      </w:r>
      <w:r>
        <w:rPr>
          <w:rFonts w:hint="eastAsia" w:ascii="黑体" w:hAnsi="黑体" w:eastAsia="黑体" w:cs="黑体"/>
          <w:color w:val="000000"/>
          <w:sz w:val="24"/>
          <w:szCs w:val="24"/>
          <w:highlight w:val="none"/>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bookmarkStart w:id="129" w:name="_Hlk149724032"/>
      <w:r>
        <w:rPr>
          <w:rFonts w:hint="eastAsia" w:ascii="宋体" w:hAnsi="宋体" w:eastAsia="宋体" w:cs="宋体"/>
          <w:color w:val="000000"/>
          <w:sz w:val="24"/>
          <w:szCs w:val="24"/>
          <w:highlight w:val="none"/>
          <w:lang w:val="en-US" w:eastAsia="zh-CN"/>
        </w:rPr>
      </w:r>
      <w:r>
        <w:rPr>
          <w:rFonts w:ascii="SimSun" w:hAnsi="SimSun" w:eastAsia="SimSun" w:cs="SimSun"/>
          <w:color w:val="000000"/>
          <w:sz w:val="24"/>
        </w:rPr>
        <w:t xml:space="preserve">参照南京市相关文件和区相关文件【2020】36号文要求</w:t>
      </w:r>
      <w:r>
        <w:rPr>
          <w:rFonts w:hint="eastAsia" w:ascii="宋体" w:hAnsi="宋体" w:eastAsia="宋体" w:cs="宋体"/>
          <w:color w:val="000000"/>
          <w:sz w:val="24"/>
          <w:szCs w:val="24"/>
          <w:highlight w:val="none"/>
          <w:lang w:val="en-US" w:eastAsia="zh-CN"/>
        </w:rPr>
        <w:t xml:space="preserve">（服务标准严格按照文件要求的时长和频次落实。如果有新文件出台，则按新标准执行），为龙袍街道政府扶助对象、80周岁以上老年人开展助浴、助餐、助护、助医、助学等多项基本服务，具体服务项目由服务组织按规定的清单与老年人或其监护人商定。</w:t>
      </w:r>
      <w:bookmarkEnd w:id="129"/>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1、助浴：包括上门助浴（提供血压、血糖、脉搏、体温等检测服务、采取防寒保暖、防暑降温及浴室内通风等措施）、外出助浴等；</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2、助餐：包括上门送餐、上门做餐、安排膳食等；</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3、助护：包括面部清洁和梳头、洗头、安全护理指导、协助更衣、协助移动等；</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4、助医：包括生命体征监测、压疮预防、协助服药、陪同就医、代取药品等；</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5、助学：包括提供家庭常用智能电器、手机等使用教学服务。</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6、精神关爱：包括提供情绪疏导、心理支持、危机干预、陪同散步（含推轮椅）等服务（根据服务对象的具体情况及个人需求）。</w:t>
      </w:r>
      <w:r>
        <w:rPr>
          <w:rFonts w:hint="eastAsia" w:ascii="宋体" w:hAnsi="宋体" w:eastAsia="宋体" w:cs="宋体"/>
          <w:color w:val="000000"/>
          <w:sz w:val="24"/>
          <w:szCs w:val="24"/>
          <w:highlight w:val="none"/>
          <w:lang w:val="en-US" w:eastAsia="zh-CN"/>
        </w:rPr>
      </w:r>
      <w:r/>
    </w:p>
    <w:p>
      <w:pPr>
        <w:pStyle w:val="971"/>
        <w:ind w:firstLine="482"/>
        <w:keepNext/>
        <w:pageBreakBefore w:val="0"/>
        <w:spacing w:line="264"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说明：以上各项服务应符合相关法律法规及行业规范。</w:t>
      </w:r>
      <w:r>
        <w:rPr>
          <w:rFonts w:ascii="宋体" w:hAnsi="宋体" w:eastAsia="宋体" w:cs="宋体"/>
          <w:b/>
          <w:bCs/>
          <w:color w:val="000000"/>
          <w:sz w:val="24"/>
          <w:szCs w:val="24"/>
          <w:highlight w:val="none"/>
          <w:lang w:val="en-US" w:eastAsia="zh-CN"/>
        </w:rPr>
      </w:r>
      <w:r/>
    </w:p>
    <w:p>
      <w:pPr>
        <w:pStyle w:val="971"/>
        <w:numPr>
          <w:ilvl w:val="0"/>
          <w:numId w:val="6"/>
        </w:numPr>
        <w:ind w:firstLine="480"/>
        <w:keepNext/>
        <w:pageBreakBefore w:val="0"/>
        <w:spacing w:line="264"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服务基本要求（适用于全部分包）</w:t>
      </w:r>
      <w:r>
        <w:rPr>
          <w:rFonts w:hint="eastAsia" w:ascii="黑体" w:hAnsi="黑体" w:eastAsia="黑体" w:cs="黑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数据应归集至区智慧养老服务平台，数据应包含省高质量考核数据归集所规定的所有字段，确保信息准确可追溯。其中，老年人基础信息中应至少包含2个有效电话，确有合理原因，预留其他电话的，应由老年人或其子女授权，并在服务工单中注明电话联系人身份，否则将作为异常工单处理，不予认可；</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2、成交供应商在服务过程中，发现老年人能力发生明显变化的应及时上报采购人，并依据采购人和上级部门的评估结果调整服务方案；</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3、成交供应商应至少具备《关于进一步完善养老服务奖补政策的通知》（宁民养老〔2023〕149 号）文中33项照护服务项目供给能力；</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4、服务供应商应与所有接受服务的老年人签订服务协议，明确上门服务项目、服务时间、服务人员、服务组织等重点内容。服务过程中要做到凡服务必签约，未签约的服务工单，将不予认可；</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5、供应商应为老年人提供一份明确、实用、可选的上门服务清单。经老年人选择确认的服务项目，应纳入签约协议，并依约执行；</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人将切实履行行业监管责任，充分发挥街道综合养老服务中心的职能，对本街道政府购买服务质量和老年人满意度进行常态化回访，回访形式包括但不限于电话回访、召开座谈会、实地走访等方式，以提高政府购买服务质量。经回访，上门服务不达标的应督促整改，限期整改不到位的，采购人有权立即终止合同且及时更换服务供应商，并在同类政府采购项目中予以限制；</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7、供应商应主动归集政府购买上门服务数据，服务数据应与每日服务实时生成的服务数据保持一致；</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8、采购人将严格按照省对市、市对区、区对街高质量考核要求，确保每位符合条件的老年人按月享受上门服务；</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9、为履行合同提供必要的支持，要求供应商有合格的服务人员团队，优选服务人员，人员身体健康，确保养老服务项目的正常实施。为本次项目拟配备的养老护理人员必须具备所提供服务的相关资质</w:t>
      </w:r>
      <w:r>
        <w:rPr>
          <w:rFonts w:hint="eastAsia" w:ascii="宋体" w:hAnsi="宋体" w:eastAsia="宋体" w:cs="宋体"/>
          <w:color w:val="000000"/>
          <w:sz w:val="24"/>
          <w:szCs w:val="24"/>
          <w:highlight w:val="none"/>
          <w:lang w:val="en-US" w:eastAsia="zh-CN"/>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六</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eastAsia="zh-CN"/>
        </w:rPr>
        <w:t xml:space="preserve">服务对象及时长</w:t>
      </w:r>
      <w:r>
        <w:rPr>
          <w:rFonts w:hint="eastAsia" w:ascii="黑体" w:hAnsi="黑体" w:eastAsia="黑体" w:cs="黑体"/>
          <w:color w:val="000000"/>
          <w:sz w:val="24"/>
          <w:szCs w:val="24"/>
          <w:highlight w:val="none"/>
        </w:rPr>
        <w:t xml:space="preserve">（适用于全部分包）</w:t>
      </w:r>
      <w:r>
        <w:rPr>
          <w:rFonts w:hint="eastAsia" w:ascii="黑体" w:hAnsi="黑体" w:eastAsia="黑体" w:cs="黑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（一）政府养老扶助对象</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（1）半失能的政府养老扶助对象原则上每旬享受免费上门生活照料服务不少于 5 天，每天不少于 1.5 小时，每人每月免费生活照料服务总时间达到 36 小时；</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（2）失能、失智的政府养老扶助对象原则上每旬享受免费上门生活照料服务不少于 6 天，每天不少于 1.5 小时，每人每月免费生活照料服务总时间达到 48 小时；</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（3）自理的特困对象、最低生活保障家庭、最低生活保障边缘家庭中的 80 周岁及以上老年人和计生特扶老年人每月享受免费上门生活照料服务时间不少于 3 小时，服务次数根据老年人需求确定。</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（4）自理的特困对象（不限年龄）：每月免费照护时间不少于4小时；</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（二）80周岁及以上老人</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80周岁以上老年人每人每月享受免费生活照料服务 2 小时。</w:t>
      </w:r>
      <w:r>
        <w:rPr>
          <w:rFonts w:hint="eastAsia" w:ascii="宋体" w:hAnsi="宋体" w:cs="宋体"/>
          <w:color w:val="000000"/>
          <w:sz w:val="24"/>
          <w:szCs w:val="24"/>
          <w:highlight w:val="none"/>
          <w:lang w:val="en-US" w:eastAsia="zh-CN"/>
        </w:rPr>
      </w:r>
      <w:r/>
    </w:p>
    <w:p>
      <w:pPr>
        <w:pStyle w:val="971"/>
        <w:ind w:firstLine="480"/>
        <w:keepNext/>
        <w:pageBreakBefore w:val="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lang w:val="en-US" w:eastAsia="zh-CN"/>
        </w:rPr>
        <w:t xml:space="preserve">七</w:t>
      </w:r>
      <w:r>
        <w:rPr>
          <w:rFonts w:hint="eastAsia" w:ascii="黑体" w:hAnsi="黑体" w:eastAsia="黑体" w:cs="黑体"/>
          <w:color w:val="000000"/>
          <w:sz w:val="24"/>
          <w:szCs w:val="24"/>
          <w:highlight w:val="none"/>
        </w:rPr>
        <w:t xml:space="preserve">、拟采购标的商务要求</w:t>
      </w:r>
      <w:r>
        <w:rPr>
          <w:rFonts w:hint="eastAsia" w:ascii="宋体" w:hAnsi="宋体" w:cs="宋体"/>
          <w:b/>
          <w:color w:val="000000"/>
          <w:sz w:val="24"/>
          <w:szCs w:val="24"/>
          <w:highlight w:val="none"/>
        </w:rPr>
      </w:r>
      <w:r/>
    </w:p>
    <w:p>
      <w:pPr>
        <w:pStyle w:val="971"/>
        <w:ind w:firstLine="480"/>
        <w:keepNext/>
        <w:pageBreakBefore w:val="0"/>
        <w:spacing w:line="264"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t xml:space="preserve">（一）商务要求</w:t>
      </w:r>
      <w:r>
        <w:rPr>
          <w:rFonts w:hint="eastAsia" w:ascii="宋体" w:hAnsi="宋体" w:cs="宋体"/>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.项目实施要求</w:t>
      </w:r>
      <w:r>
        <w:rPr>
          <w:rFonts w:hint="eastAsia" w:ascii="宋体" w:hAnsi="宋体" w:cs="宋体"/>
          <w:b/>
          <w:bCs/>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1、制定完善的管理制度和保障机制，做到管理正规化、服务规范化、考核标准化，进行</w:t>
      </w:r>
      <w:r>
        <w:rPr>
          <w:rFonts w:hint="eastAsia" w:ascii="宋体" w:hAnsi="宋体" w:cs="宋体"/>
          <w:color w:val="000000"/>
          <w:sz w:val="24"/>
          <w:szCs w:val="24"/>
          <w:highlight w:val="none"/>
          <w:lang w:eastAsia="zh-CN"/>
        </w:rPr>
        <w:t xml:space="preserve">规范化</w:t>
      </w:r>
      <w:r>
        <w:rPr>
          <w:rFonts w:hint="eastAsia" w:ascii="宋体" w:hAnsi="宋体" w:cs="宋体"/>
          <w:color w:val="000000"/>
          <w:sz w:val="24"/>
          <w:szCs w:val="24"/>
          <w:highlight w:val="none"/>
        </w:rPr>
        <w:t xml:space="preserve">服务和管理；</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、根据服务对象的实际需求，适时增加服务项目和服务内容，服务必须依据援助对象的意愿开展，不得强制服务；</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、符合所在行业规范要求；</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、服务的信息要及时向</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人汇报，做到积极响应并接受招标人监督。</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、在合同履行期间，</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人有权依照招标文件相关要求对相关服务或交付的工作成果进行阶段性考核及/或总体考核。经考核不合格的，</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人应当按照要求在指定的合理期限内进行整改和完善，直至符合相关标准。逾期不予整改或经整改仍不能符合相关要求，或者将导致合同目的无法实现，</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人有权依照法律程序解除合同，并追究</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人违约责任；</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成交人</w:t>
      </w:r>
      <w:r>
        <w:rPr>
          <w:rFonts w:hint="eastAsia" w:ascii="宋体" w:hAnsi="宋体" w:cs="宋体"/>
          <w:color w:val="000000"/>
          <w:sz w:val="24"/>
          <w:szCs w:val="24"/>
          <w:highlight w:val="none"/>
        </w:rPr>
        <w:t xml:space="preserve">必须积极配合并接受上级行政主管部门、民政部门以及财政部门开展的项目监督检查、绩效评估以及资金使用的审计等事宜；</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人在履行合同中产生的一切非因</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人过错导致的损失，均自行承担责任。</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、投标人应编制有合理的项目风险应急预案，不能因人员变化影响项目进度；</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、服务方案的主要内容包括但不限于项目的需求分析、项目目标和内容、项目进度安排、项目团队人员构成、项目资金的详细安排、项目实施中可能遇到的风险预测及应对方案。</w:t>
      </w:r>
      <w:r>
        <w:rPr>
          <w:rFonts w:hint="eastAsia" w:ascii="宋体" w:hAnsi="宋体" w:cs="宋体"/>
          <w:color w:val="000000"/>
          <w:sz w:val="24"/>
          <w:szCs w:val="24"/>
          <w:highlight w:val="none"/>
        </w:rPr>
      </w:r>
      <w:r/>
    </w:p>
    <w:p>
      <w:pPr>
        <w:pStyle w:val="971"/>
        <w:ind w:firstLine="482"/>
        <w:keepNext/>
        <w:pageBreakBefore w:val="0"/>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付款条件</w:t>
      </w:r>
      <w:r>
        <w:rPr>
          <w:rFonts w:ascii="宋体" w:hAnsi="宋体" w:cs="宋体"/>
          <w:b/>
          <w:color w:val="000000"/>
          <w:sz w:val="24"/>
          <w:szCs w:val="24"/>
          <w:highlight w:val="none"/>
        </w:rPr>
      </w:r>
      <w:r/>
    </w:p>
    <w:p>
      <w:pPr>
        <w:pStyle w:val="971"/>
        <w:ind w:firstLine="480"/>
        <w:keepNext/>
        <w:pageBreakBefore w:val="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以六合区智慧养老平台的服务数据为依据，以第三方考核合格数据结果为准，结合市、区两级拨付相关费用进度，</w:t>
      </w:r>
      <w:r>
        <w:rPr>
          <w:rFonts w:hint="eastAsia" w:ascii="宋体" w:hAnsi="宋体" w:cs="宋体"/>
          <w:color w:val="000000"/>
          <w:sz w:val="24"/>
          <w:szCs w:val="24"/>
          <w:highlight w:val="none"/>
          <w:lang w:eastAsia="zh-CN"/>
        </w:rPr>
        <w:t xml:space="preserve">审计结束后</w:t>
      </w:r>
      <w:r>
        <w:rPr>
          <w:rFonts w:hint="eastAsia" w:ascii="宋体" w:hAnsi="宋体" w:cs="宋体"/>
          <w:color w:val="000000"/>
          <w:sz w:val="24"/>
          <w:szCs w:val="24"/>
          <w:highlight w:val="none"/>
        </w:rPr>
        <w:t xml:space="preserve">按照实际服务人数×服务时长×固定单价进行结算</w:t>
      </w:r>
      <w:r>
        <w:rPr>
          <w:rFonts w:hint="eastAsia" w:ascii="宋体" w:hAnsi="宋体" w:cs="宋体"/>
          <w:color w:val="000000"/>
          <w:sz w:val="24"/>
          <w:szCs w:val="24"/>
          <w:highlight w:val="none"/>
          <w:lang w:eastAsia="zh-CN"/>
        </w:rPr>
        <w:t xml:space="preserve">支付</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971"/>
        <w:ind w:firstLine="482"/>
        <w:keepNext/>
        <w:pageBreakBefore w:val="0"/>
        <w:spacing w:line="264" w:lineRule="auto"/>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zh-CN" w:eastAsia="zh-CN"/>
        </w:rPr>
        <w:t xml:space="preserve">特别说明</w:t>
      </w:r>
      <w:r>
        <w:rPr>
          <w:rFonts w:hint="eastAsia" w:ascii="宋体" w:hAnsi="宋体" w:cs="宋体"/>
          <w:b/>
          <w:color w:val="000000"/>
          <w:sz w:val="24"/>
          <w:szCs w:val="24"/>
          <w:highlight w:val="none"/>
          <w:lang w:val="en-US" w:eastAsia="zh-CN"/>
        </w:rPr>
      </w:r>
      <w:r/>
    </w:p>
    <w:p>
      <w:pPr>
        <w:pStyle w:val="971"/>
        <w:ind w:firstLine="480"/>
        <w:keepNext/>
        <w:pageBreakBefore w:val="0"/>
        <w:spacing w:line="264"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1、除人户分离、或因拆迁等特殊原因造成暂时性迁居等情形外，辖区内服务对象的服务覆盖率应达到98%以上（服务人员不得少于10人）。</w:t>
      </w:r>
      <w:r>
        <w:rPr>
          <w:rFonts w:hint="eastAsia" w:ascii="宋体" w:hAnsi="宋体" w:cs="宋体"/>
          <w:b/>
          <w:bCs w:val="0"/>
          <w:color w:val="000000"/>
          <w:sz w:val="24"/>
          <w:szCs w:val="24"/>
          <w:highlight w:val="none"/>
          <w:lang w:val="en-US" w:eastAsia="zh-CN"/>
        </w:rPr>
        <w:t xml:space="preserve">协助街道和村居做好其他养老服务工作</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971"/>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bCs/>
          <w:color w:val="000000"/>
          <w:sz w:val="24"/>
          <w:szCs w:val="24"/>
          <w:highlight w:val="none"/>
        </w:rPr>
        <w:t xml:space="preserve">投标人</w:t>
      </w:r>
      <w:r>
        <w:rPr>
          <w:rFonts w:hint="eastAsia" w:ascii="宋体" w:hAnsi="宋体" w:cs="宋体"/>
          <w:b w:val="0"/>
          <w:bCs/>
          <w:color w:val="000000"/>
          <w:sz w:val="24"/>
          <w:szCs w:val="24"/>
          <w:highlight w:val="none"/>
          <w:lang w:val="zh-CN" w:eastAsia="zh-CN"/>
        </w:rPr>
        <w:t xml:space="preserve">应充分考虑所有可能影响到的政策等风险因素。</w:t>
      </w:r>
      <w:r>
        <w:rPr>
          <w:rFonts w:hint="eastAsia" w:ascii="宋体" w:hAnsi="宋体" w:cs="宋体"/>
          <w:b w:val="0"/>
          <w:bCs/>
          <w:color w:val="000000"/>
          <w:sz w:val="24"/>
          <w:szCs w:val="24"/>
          <w:highlight w:val="none"/>
          <w:lang w:val="zh-CN" w:eastAsia="zh-CN"/>
        </w:rPr>
      </w:r>
      <w:r/>
    </w:p>
    <w:p>
      <w:pPr>
        <w:pStyle w:val="971"/>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bCs/>
          <w:color w:val="000000"/>
          <w:sz w:val="24"/>
          <w:szCs w:val="24"/>
          <w:highlight w:val="none"/>
        </w:rPr>
        <w:t xml:space="preserve">投标人</w:t>
      </w:r>
      <w:r>
        <w:rPr>
          <w:rFonts w:hint="eastAsia" w:ascii="宋体" w:hAnsi="宋体" w:cs="宋体"/>
          <w:b w:val="0"/>
          <w:bCs/>
          <w:color w:val="000000"/>
          <w:sz w:val="24"/>
          <w:szCs w:val="24"/>
          <w:highlight w:val="none"/>
          <w:lang w:val="zh-CN" w:eastAsia="zh-CN"/>
        </w:rPr>
        <w:t xml:space="preserve">的任何错漏、优惠、竞争性报价不得作为减轻责任、减少服务、增加收费、降低质量的理由。</w:t>
      </w:r>
      <w:r>
        <w:rPr>
          <w:rFonts w:hint="eastAsia" w:ascii="宋体" w:hAnsi="宋体" w:cs="宋体"/>
          <w:b w:val="0"/>
          <w:bCs/>
          <w:color w:val="000000"/>
          <w:sz w:val="24"/>
          <w:szCs w:val="24"/>
          <w:highlight w:val="none"/>
          <w:lang w:val="zh-CN" w:eastAsia="zh-CN"/>
        </w:rPr>
      </w:r>
      <w:r/>
    </w:p>
    <w:p>
      <w:pPr>
        <w:pStyle w:val="971"/>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bCs/>
          <w:color w:val="000000"/>
          <w:sz w:val="24"/>
          <w:szCs w:val="24"/>
          <w:highlight w:val="none"/>
        </w:rPr>
        <w:t xml:space="preserve">投标人</w:t>
      </w:r>
      <w:r>
        <w:rPr>
          <w:rFonts w:hint="eastAsia" w:ascii="宋体" w:hAnsi="宋体" w:cs="仿宋_GB2312"/>
          <w:bCs/>
          <w:color w:val="000000"/>
          <w:sz w:val="24"/>
          <w:szCs w:val="24"/>
          <w:highlight w:val="none"/>
        </w:rPr>
        <w:t xml:space="preserve">应根据招标文件要求报出完成本项目所需全部费用，包括但不限于人员工资、交通、餐饮、住宿以及其他类似的附随服务所产生的费用和税金等。</w:t>
      </w:r>
      <w:r>
        <w:rPr>
          <w:rFonts w:hint="eastAsia" w:ascii="宋体" w:hAnsi="宋体" w:cs="仿宋_GB2312"/>
          <w:b/>
          <w:bCs/>
          <w:color w:val="000000"/>
          <w:sz w:val="24"/>
          <w:szCs w:val="24"/>
          <w:highlight w:val="none"/>
        </w:rPr>
        <w:t xml:space="preserve">投标人的任何错漏、优惠、竞争性报价不得作为减轻责任、减少服务、增加收费、降低服务质量的理由</w:t>
      </w:r>
      <w:r>
        <w:rPr>
          <w:rFonts w:hint="eastAsia" w:ascii="宋体" w:hAnsi="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zh-CN" w:eastAsia="zh-CN"/>
        </w:rPr>
      </w:r>
      <w:r/>
    </w:p>
    <w:p>
      <w:pPr>
        <w:pStyle w:val="971"/>
        <w:ind w:firstLine="480"/>
        <w:keepNext/>
        <w:pageBreakBefore w:val="0"/>
        <w:spacing w:line="264"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w:t>
      </w:r>
      <w:r>
        <w:rPr>
          <w:rFonts w:hint="eastAsia" w:ascii="宋体" w:hAnsi="宋体" w:cs="宋体"/>
          <w:b/>
          <w:bCs w:val="0"/>
          <w:color w:val="000000"/>
          <w:sz w:val="24"/>
          <w:szCs w:val="24"/>
          <w:highlight w:val="none"/>
          <w:lang w:val="en-US" w:eastAsia="zh-CN"/>
        </w:rPr>
        <w:t xml:space="preserve">为本项提供能力评估的主体单位不得参与本项目的招标采购工作。</w:t>
      </w:r>
      <w:r>
        <w:rPr>
          <w:rFonts w:hint="eastAsia" w:ascii="宋体" w:hAnsi="宋体" w:cs="宋体"/>
          <w:b w:val="0"/>
          <w:bCs/>
          <w:color w:val="000000"/>
          <w:sz w:val="24"/>
          <w:szCs w:val="24"/>
          <w:highlight w:val="none"/>
          <w:lang w:val="en-US" w:eastAsia="zh-CN"/>
        </w:rPr>
        <w:t xml:space="preserve">（执行文件六民字</w:t>
      </w:r>
      <w:r>
        <w:rPr>
          <w:rFonts w:hint="eastAsia" w:ascii="宋体" w:hAnsi="宋体" w:eastAsia="宋体" w:cs="宋体"/>
          <w:b w:val="0"/>
          <w:bCs/>
          <w:color w:val="000000"/>
          <w:sz w:val="24"/>
          <w:szCs w:val="24"/>
          <w:highlight w:val="none"/>
          <w:lang w:val="en-US" w:eastAsia="zh-CN"/>
        </w:rPr>
        <w:t xml:space="preserve">〔2024〕17号文</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84"/>
        <w:keepNext/>
        <w:pageBreakBefore w:val="0"/>
        <w:rPr>
          <w:rFonts w:eastAsia="宋体"/>
          <w:color w:val="000000"/>
          <w:highlight w:val="none"/>
          <w:lang w:val="en-US" w:eastAsia="zh-CN"/>
        </w:rPr>
      </w:pPr>
      <w:r>
        <w:rPr>
          <w:rFonts w:eastAsia="宋体"/>
          <w:color w:val="000000"/>
          <w:highlight w:val="none"/>
          <w:lang w:val="en-US" w:eastAsia="zh-CN"/>
        </w:rPr>
      </w:r>
      <w:r/>
    </w:p>
    <w:p>
      <w:pPr>
        <w:pStyle w:val="971"/>
        <w:ind w:firstLine="480"/>
        <w:keepNext/>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1"/>
        <w:ind w:firstLine="480"/>
        <w:keepNext/>
        <w:pageBreakBefore w:val="0"/>
        <w:spacing w:line="0" w:lineRule="atLeast"/>
        <w:rPr>
          <w:rFonts w:ascii="宋体" w:hAnsi="宋体"/>
          <w:color w:val="000000"/>
          <w:sz w:val="24"/>
          <w:szCs w:val="21"/>
          <w:highlight w:val="none"/>
        </w:rPr>
      </w:pPr>
      <w:r>
        <w:rPr>
          <w:rFonts w:ascii="宋体" w:hAnsi="宋体"/>
          <w:color w:val="000000"/>
          <w:sz w:val="24"/>
          <w:szCs w:val="21"/>
          <w:highlight w:val="none"/>
        </w:rPr>
      </w:r>
      <w:r/>
    </w:p>
    <w:p>
      <w:pPr>
        <w:pStyle w:val="971"/>
        <w:ind w:firstLine="480"/>
        <w:keepNext/>
        <w:pageBreakBefore w:val="0"/>
        <w:spacing w:line="0" w:lineRule="atLeas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71"/>
        <w:keepNext/>
        <w:pageBreakBefore w:val="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keepNext/>
        <w:pageBreakBefore w:val="0"/>
        <w:rPr>
          <w:rFonts w:hint="eastAsia" w:ascii="Times New Roman" w:hAnsi="Times New Roman"/>
          <w:b/>
          <w:i/>
          <w:color w:val="000000"/>
          <w:sz w:val="30"/>
          <w:szCs w:val="32"/>
          <w:highlight w:val="none"/>
          <w:u w:val="single"/>
        </w:rPr>
      </w:pPr>
      <w:r>
        <w:rPr>
          <w:rFonts w:hint="eastAsia" w:ascii="Times New Roman" w:hAnsi="Times New Roman"/>
          <w:b/>
          <w:i/>
          <w:color w:val="000000"/>
          <w:sz w:val="30"/>
          <w:szCs w:val="32"/>
          <w:highlight w:val="none"/>
          <w:u w:val="single"/>
        </w:rPr>
      </w:r>
      <w:r/>
    </w:p>
    <w:p>
      <w:pPr>
        <w:pStyle w:val="971"/>
        <w:jc w:val="center"/>
        <w:keepNext/>
        <w:pageBreakBefore w:val="0"/>
        <w:rPr>
          <w:rFonts w:hint="eastAsia" w:ascii="黑体" w:hAnsi="Times New Roman" w:eastAsia="黑体"/>
          <w:bCs/>
          <w:color w:val="000000"/>
          <w:sz w:val="44"/>
          <w:szCs w:val="28"/>
          <w:highlight w:val="none"/>
        </w:rPr>
        <w:outlineLvl w:val="0"/>
      </w:pPr>
      <w:r/>
      <w:bookmarkStart w:id="130" w:name="_Toc120614281"/>
      <w:r>
        <w:rPr>
          <w:rFonts w:hint="eastAsia" w:ascii="黑体" w:hAnsi="Times New Roman" w:eastAsia="黑体"/>
          <w:bCs/>
          <w:color w:val="000000"/>
          <w:sz w:val="44"/>
          <w:szCs w:val="28"/>
          <w:highlight w:val="none"/>
        </w:rPr>
        <w:br w:type="page" w:clear="all"/>
      </w:r>
      <w:r>
        <w:rPr>
          <w:rFonts w:hint="eastAsia" w:ascii="黑体" w:hAnsi="Times New Roman" w:eastAsia="黑体"/>
          <w:color w:val="000000"/>
          <w:sz w:val="44"/>
          <w:szCs w:val="44"/>
          <w:highlight w:val="none"/>
        </w:rPr>
        <w:t xml:space="preserve">第五章  评审方法与评审标准</w:t>
      </w:r>
      <w:r>
        <w:rPr>
          <w:rFonts w:hint="eastAsia" w:ascii="黑体" w:hAnsi="Times New Roman" w:eastAsia="黑体"/>
          <w:bCs/>
          <w:color w:val="000000"/>
          <w:sz w:val="44"/>
          <w:szCs w:val="28"/>
          <w:highlight w:val="none"/>
        </w:rPr>
      </w:r>
      <w:r/>
    </w:p>
    <w:p>
      <w:pPr>
        <w:pStyle w:val="971"/>
        <w:ind w:firstLine="420"/>
        <w:keepNext/>
        <w:pageBreakBefore w:val="0"/>
        <w:spacing w:line="264"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rPr>
          <w:rFonts w:hint="eastAsia" w:ascii="黑体" w:hAnsi="黑体" w:eastAsia="黑体" w:cs="黑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磋商小组按照评审总分由高到低顺序推荐</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成交候选供应商，并编写评审报告。评审得分相同的，按照最后报价由低到高的顺序推荐。</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hint="eastAsia" w:ascii="黑体" w:hAnsi="黑体" w:eastAsia="黑体" w:cs="黑体"/>
          <w:color w:val="000000"/>
          <w:sz w:val="24"/>
          <w:szCs w:val="24"/>
          <w:highlight w:val="none"/>
        </w:rPr>
      </w:r>
      <w:r/>
    </w:p>
    <w:p>
      <w:pPr>
        <w:pStyle w:val="971"/>
        <w:ind w:firstLine="480"/>
        <w:keepNext/>
        <w:pageBreakBefore w:val="0"/>
        <w:spacing w:line="264"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zh-CN"/>
        </w:rPr>
        <w:t xml:space="preserve">本项目服务全部由小微企业承接</w:t>
      </w:r>
      <w:r>
        <w:rPr>
          <w:rFonts w:hint="eastAsia" w:ascii="宋体" w:hAnsi="宋体" w:cs="宋体"/>
          <w:color w:val="000000"/>
          <w:sz w:val="24"/>
          <w:szCs w:val="24"/>
          <w:highlight w:val="none"/>
          <w:lang w:val="zh-CN" w:eastAsia="zh-CN"/>
        </w:rPr>
        <w:t xml:space="preserve">的，</w:t>
      </w:r>
      <w:r>
        <w:rPr>
          <w:rFonts w:hint="eastAsia" w:ascii="宋体" w:hAnsi="宋体" w:cs="宋体"/>
          <w:color w:val="000000"/>
          <w:sz w:val="24"/>
          <w:szCs w:val="24"/>
          <w:highlight w:val="none"/>
        </w:rPr>
        <w:t xml:space="preserve">对报价给予</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s="宋体"/>
          <w:color w:val="000000"/>
          <w:sz w:val="24"/>
          <w:szCs w:val="24"/>
          <w:highlight w:val="none"/>
          <w:lang w:eastAsia="zh-CN"/>
        </w:rPr>
      </w:r>
      <w:r/>
    </w:p>
    <w:p>
      <w:pPr>
        <w:pStyle w:val="971"/>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残疾人福利性单位视同小型、微型企业，给予</w:t>
      </w:r>
      <w:r>
        <w:rPr>
          <w:rFonts w:hint="eastAsia" w:ascii="宋体" w:hAnsi="宋体" w:cs="宋体"/>
          <w:color w:val="000000"/>
          <w:sz w:val="24"/>
          <w:szCs w:val="24"/>
          <w:highlight w:val="none"/>
          <w:lang w:val="en-US" w:eastAsia="zh-CN"/>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监狱和戒毒企业视同小型、微型企业，给予</w:t>
      </w:r>
      <w:r>
        <w:rPr>
          <w:rFonts w:hint="eastAsia" w:ascii="宋体" w:hAnsi="宋体" w:cs="宋体"/>
          <w:color w:val="000000"/>
          <w:sz w:val="24"/>
          <w:szCs w:val="24"/>
          <w:highlight w:val="none"/>
          <w:lang w:val="en-US" w:eastAsia="zh-CN"/>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残疾人福利单位、监狱企业属于小型、微型企业的，不重复享受</w:t>
      </w:r>
      <w:r>
        <w:rPr>
          <w:rFonts w:hint="eastAsia" w:ascii="宋体" w:hAnsi="宋体" w:cs="宋体"/>
          <w:color w:val="000000"/>
          <w:sz w:val="24"/>
          <w:szCs w:val="24"/>
          <w:highlight w:val="none"/>
          <w:lang w:val="en-US" w:eastAsia="zh-CN"/>
        </w:rPr>
        <w:t xml:space="preserve">价格扣除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71"/>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三、评审标准</w:t>
      </w:r>
      <w:r>
        <w:rPr>
          <w:rFonts w:hint="eastAsia" w:ascii="黑体" w:hAnsi="黑体" w:eastAsia="黑体" w:cs="黑体"/>
          <w:color w:val="000000"/>
          <w:sz w:val="24"/>
          <w:szCs w:val="24"/>
          <w:highlight w:val="none"/>
        </w:rPr>
      </w:r>
      <w:r/>
    </w:p>
    <w:tbl>
      <w:tblPr>
        <w:tblW w:w="9612"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71"/>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序号</w:t>
            </w:r>
            <w:r>
              <w:rPr>
                <w:rFonts w:hint="eastAsia" w:ascii="宋体" w:hAnsi="宋体" w:cs="宋体"/>
                <w:b/>
                <w:bCs/>
                <w:color w:val="000000"/>
                <w:spacing w:val="-3"/>
                <w:highlight w:val="none"/>
              </w:rPr>
            </w:r>
            <w:r/>
          </w:p>
        </w:tc>
        <w:tc>
          <w:tcPr>
            <w:tcW w:w="1179" w:type="dxa"/>
            <w:vAlign w:val="center"/>
            <w:textDirection w:val="lrTb"/>
            <w:noWrap w:val="false"/>
          </w:tcPr>
          <w:p>
            <w:pPr>
              <w:pStyle w:val="971"/>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评审因素</w:t>
            </w:r>
            <w:r>
              <w:rPr>
                <w:rFonts w:hint="eastAsia" w:ascii="宋体" w:hAnsi="宋体" w:cs="宋体"/>
                <w:b/>
                <w:bCs/>
                <w:color w:val="000000"/>
                <w:spacing w:val="-3"/>
                <w:highlight w:val="none"/>
              </w:rPr>
            </w:r>
            <w:r/>
          </w:p>
        </w:tc>
        <w:tc>
          <w:tcPr>
            <w:tcW w:w="6425" w:type="dxa"/>
            <w:vAlign w:val="center"/>
            <w:textDirection w:val="lrTb"/>
            <w:noWrap w:val="false"/>
          </w:tcPr>
          <w:p>
            <w:pPr>
              <w:pStyle w:val="971"/>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评审细则</w:t>
            </w:r>
            <w:r>
              <w:rPr>
                <w:rFonts w:hint="eastAsia" w:ascii="宋体" w:hAnsi="宋体" w:cs="宋体"/>
                <w:b/>
                <w:bCs/>
                <w:color w:val="000000"/>
                <w:spacing w:val="-3"/>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分值</w:t>
            </w:r>
            <w:r>
              <w:rPr>
                <w:rFonts w:hint="eastAsia" w:ascii="宋体" w:hAnsi="宋体" w:cs="宋体"/>
                <w:b/>
                <w:bCs/>
                <w:color w:val="000000"/>
                <w:spacing w:val="-3"/>
                <w:highlight w:val="none"/>
              </w:rPr>
            </w:r>
            <w:r/>
          </w:p>
        </w:tc>
        <w:tc>
          <w:tcPr>
            <w:tcW w:w="852" w:type="dxa"/>
            <w:vAlign w:val="center"/>
            <w:textDirection w:val="lrTb"/>
            <w:noWrap w:val="false"/>
          </w:tcPr>
          <w:p>
            <w:pPr>
              <w:pStyle w:val="971"/>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类型</w:t>
            </w:r>
            <w:r>
              <w:rPr>
                <w:rFonts w:hint="eastAsia" w:ascii="宋体" w:hAnsi="宋体" w:cs="宋体"/>
                <w:b/>
                <w:bCs/>
                <w:color w:val="000000"/>
                <w:spacing w:val="-3"/>
                <w:highlight w:val="none"/>
              </w:rPr>
            </w:r>
            <w:r/>
          </w:p>
        </w:tc>
      </w:tr>
      <w:tr>
        <w:trPr>
          <w:trHeight w:val="460"/>
        </w:trPr>
        <w:tc>
          <w:tcPr>
            <w:gridSpan w:val="5"/>
            <w:tcW w:w="9612" w:type="dxa"/>
            <w:vAlign w:val="top"/>
            <w:textDirection w:val="lrTb"/>
            <w:noWrap w:val="false"/>
          </w:tcPr>
          <w:p>
            <w:pPr>
              <w:pStyle w:val="971"/>
              <w:ind w:left="114"/>
              <w:keepNext/>
              <w:pageBreakBefore w:val="0"/>
              <w:spacing w:before="122"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1.</w:t>
            </w:r>
            <w:r>
              <w:rPr>
                <w:rFonts w:ascii="宋体" w:hAnsi="宋体" w:cs="宋体"/>
                <w:b/>
                <w:bCs/>
                <w:color w:val="000000"/>
                <w:spacing w:val="-3"/>
                <w:szCs w:val="21"/>
                <w:highlight w:val="none"/>
              </w:rPr>
              <w:t xml:space="preserve">价</w:t>
            </w:r>
            <w:r>
              <w:rPr>
                <w:rFonts w:ascii="宋体" w:hAnsi="宋体" w:cs="宋体"/>
                <w:b/>
                <w:bCs/>
                <w:color w:val="000000"/>
                <w:spacing w:val="-2"/>
                <w:szCs w:val="21"/>
                <w:highlight w:val="none"/>
              </w:rPr>
              <w:t xml:space="preserve">格</w:t>
            </w:r>
            <w:r>
              <w:rPr>
                <w:rFonts w:hint="eastAsia" w:ascii="宋体" w:hAnsi="宋体" w:cs="宋体"/>
                <w:b/>
                <w:bCs/>
                <w:color w:val="000000"/>
                <w:spacing w:val="-2"/>
                <w:szCs w:val="21"/>
                <w:highlight w:val="none"/>
                <w:lang w:val="en-US" w:eastAsia="zh-CN"/>
              </w:rPr>
              <w:t xml:space="preserve">20分</w:t>
            </w:r>
            <w:r>
              <w:rPr>
                <w:rFonts w:ascii="宋体" w:hAnsi="宋体" w:eastAsia="宋体" w:cs="宋体"/>
                <w:color w:val="000000"/>
                <w:szCs w:val="21"/>
                <w:highlight w:val="none"/>
                <w:lang w:val="en-US" w:eastAsia="zh-CN"/>
              </w:rPr>
            </w:r>
            <w:r/>
          </w:p>
        </w:tc>
      </w:tr>
      <w:tr>
        <w:trPr>
          <w:trHeight w:val="1030"/>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1</w:t>
            </w:r>
            <w:r>
              <w:rPr>
                <w:rFonts w:ascii="宋体" w:hAnsi="宋体" w:cs="宋体"/>
                <w:color w:val="000000"/>
                <w:spacing w:val="-5"/>
                <w:szCs w:val="21"/>
                <w:highlight w:val="none"/>
              </w:rPr>
              <w:t xml:space="preserve">.1</w:t>
            </w:r>
            <w:r>
              <w:rPr>
                <w:rFonts w:ascii="宋体" w:hAnsi="宋体" w:cs="宋体"/>
                <w:color w:val="000000"/>
                <w:szCs w:val="21"/>
                <w:highlight w:val="none"/>
              </w:rPr>
            </w:r>
            <w:r/>
          </w:p>
        </w:tc>
        <w:tc>
          <w:tcPr>
            <w:tcW w:w="1179" w:type="dxa"/>
            <w:vAlign w:val="center"/>
            <w:textDirection w:val="lrTb"/>
            <w:noWrap w:val="false"/>
          </w:tcPr>
          <w:p>
            <w:pPr>
              <w:pStyle w:val="971"/>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价格分</w:t>
            </w:r>
            <w:r>
              <w:rPr>
                <w:rFonts w:ascii="宋体" w:hAnsi="宋体" w:cs="宋体"/>
                <w:color w:val="000000"/>
                <w:szCs w:val="21"/>
                <w:highlight w:val="none"/>
              </w:rPr>
            </w:r>
            <w:r/>
          </w:p>
        </w:tc>
        <w:tc>
          <w:tcPr>
            <w:tcW w:w="6425" w:type="dxa"/>
            <w:vAlign w:val="center"/>
            <w:textDirection w:val="lrTb"/>
            <w:noWrap w:val="false"/>
          </w:tcPr>
          <w:p>
            <w:pPr>
              <w:pStyle w:val="971"/>
              <w:jc w:val="left"/>
              <w:keepNext/>
              <w:pageBreakBefore w:val="0"/>
              <w:spacing w:line="264" w:lineRule="auto"/>
              <w:rPr>
                <w:rFonts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w:t>
            </w:r>
            <w:r>
              <w:rPr>
                <w:rFonts w:hint="eastAsia" w:ascii="宋体" w:hAnsi="宋体" w:cs="宋体"/>
                <w:color w:val="000000"/>
                <w:szCs w:val="21"/>
                <w:highlight w:val="none"/>
              </w:rPr>
              <w:t xml:space="preserve">价格分值（小数点保留两位）</w:t>
            </w:r>
            <w:r>
              <w:rPr>
                <w:rFonts w:ascii="宋体" w:hAnsi="宋体" w:cs="宋体"/>
                <w:color w:val="000000"/>
                <w:szCs w:val="21"/>
                <w:highlight w:val="none"/>
              </w:rPr>
            </w:r>
            <w:r/>
          </w:p>
        </w:tc>
        <w:tc>
          <w:tcPr>
            <w:tcW w:w="637" w:type="dxa"/>
            <w:vAlign w:val="center"/>
            <w:textDirection w:val="lrTb"/>
            <w:noWrap w:val="false"/>
          </w:tcPr>
          <w:p>
            <w:pPr>
              <w:pStyle w:val="971"/>
              <w:jc w:val="center"/>
              <w:keepNext/>
              <w:pageBreakBefore w:val="0"/>
              <w:spacing w:before="68" w:line="264"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971"/>
              <w:jc w:val="center"/>
              <w:keepNext/>
              <w:pageBreakBefore w:val="0"/>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612" w:type="dxa"/>
            <w:vAlign w:val="top"/>
            <w:textDirection w:val="lrTb"/>
            <w:noWrap w:val="false"/>
          </w:tcPr>
          <w:p>
            <w:pPr>
              <w:pStyle w:val="971"/>
              <w:ind w:left="114"/>
              <w:keepNext/>
              <w:pageBreakBefore w:val="0"/>
              <w:spacing w:before="123"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2.服务</w:t>
            </w:r>
            <w:r>
              <w:rPr>
                <w:rFonts w:hint="eastAsia" w:ascii="宋体" w:hAnsi="宋体" w:cs="宋体"/>
                <w:b/>
                <w:bCs/>
                <w:color w:val="000000"/>
                <w:spacing w:val="-3"/>
                <w:szCs w:val="21"/>
                <w:highlight w:val="none"/>
                <w:lang w:val="en-US" w:eastAsia="zh-CN"/>
              </w:rPr>
              <w:t xml:space="preserve">36分</w:t>
            </w:r>
            <w:r>
              <w:rPr>
                <w:rFonts w:ascii="宋体" w:hAnsi="宋体" w:eastAsia="宋体" w:cs="宋体"/>
                <w:color w:val="000000"/>
                <w:szCs w:val="21"/>
                <w:highlight w:val="none"/>
                <w:lang w:val="en-US" w:eastAsia="zh-CN"/>
              </w:rPr>
            </w:r>
            <w:r/>
          </w:p>
        </w:tc>
      </w:tr>
      <w:tr>
        <w:trPr>
          <w:trHeight w:val="891"/>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2.1</w:t>
            </w:r>
            <w:r>
              <w:rPr>
                <w:rFonts w:ascii="宋体" w:hAnsi="宋体" w:cs="宋体"/>
                <w:color w:val="000000"/>
                <w:spacing w:val="-2"/>
                <w:szCs w:val="21"/>
                <w:highlight w:val="none"/>
              </w:rPr>
            </w:r>
            <w:r/>
          </w:p>
        </w:tc>
        <w:tc>
          <w:tcPr>
            <w:tcW w:w="1179" w:type="dxa"/>
            <w:vAlign w:val="center"/>
            <w:textDirection w:val="lrTb"/>
            <w:noWrap w:val="false"/>
          </w:tcPr>
          <w:p>
            <w:pPr>
              <w:pStyle w:val="971"/>
              <w:ind w:right="108"/>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项目实施方</w:t>
            </w:r>
            <w:r>
              <w:rPr>
                <w:rFonts w:ascii="宋体" w:hAnsi="宋体" w:cs="宋体"/>
                <w:color w:val="000000"/>
                <w:spacing w:val="-2"/>
                <w:szCs w:val="21"/>
                <w:highlight w:val="none"/>
              </w:rPr>
            </w:r>
            <w:r/>
          </w:p>
          <w:p>
            <w:pPr>
              <w:pStyle w:val="971"/>
              <w:ind w:right="108"/>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案</w:t>
            </w:r>
            <w:r>
              <w:rPr>
                <w:rFonts w:ascii="宋体" w:hAnsi="宋体" w:cs="宋体"/>
                <w:color w:val="000000"/>
                <w:spacing w:val="-2"/>
                <w:szCs w:val="21"/>
                <w:highlight w:val="none"/>
              </w:rPr>
            </w:r>
            <w:r/>
          </w:p>
        </w:tc>
        <w:tc>
          <w:tcPr>
            <w:tcW w:w="6425" w:type="dxa"/>
            <w:vAlign w:val="center"/>
            <w:textDirection w:val="lrTb"/>
            <w:noWrap w:val="false"/>
          </w:tcPr>
          <w:p>
            <w:pPr>
              <w:pStyle w:val="971"/>
              <w:keepNext/>
              <w:pageBreakBefore w:val="0"/>
              <w:widowControl/>
              <w:rPr>
                <w:color w:val="000000"/>
                <w:highlight w:val="none"/>
              </w:rPr>
            </w:pPr>
            <w:r>
              <w:rPr>
                <w:rFonts w:hint="eastAsia" w:ascii="宋体" w:hAnsi="宋体" w:cs="宋体"/>
                <w:color w:val="000000"/>
                <w:highlight w:val="none"/>
              </w:rPr>
              <w:t xml:space="preserve">评委根据供应商提供的项目实施方案（包括项目总体认识、工作任务要求理解、保障措施等）进行评分：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1、对项目总体认识、工作任务等要求理解准确，提交的实施方案内容满足本项目任务要求的得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2、对项目总体认识、工作任务等要求理解比较准确，提交的实施方案内容基本满足本项目任务要求的得5分；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3、对项目总体认识、工作任务等要求理解不够准确，提交的实施方案内容不能完全满足本项目任务要求的得3分； </w:t>
            </w:r>
            <w:r>
              <w:rPr>
                <w:color w:val="000000"/>
                <w:highlight w:val="none"/>
              </w:rPr>
            </w:r>
            <w:r/>
          </w:p>
          <w:p>
            <w:pPr>
              <w:pStyle w:val="971"/>
              <w:ind w:firstLine="420"/>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4、对项目总体认识、工作任务等要求理解不准确，提交的实施方案内容不满足本项目任务要求的得1分；未提供不得分。</w:t>
            </w:r>
            <w:r>
              <w:rPr>
                <w:rFonts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hint="eastAsia"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hint="eastAsia" w:ascii="宋体" w:hAnsi="宋体" w:cs="宋体"/>
                <w:color w:val="000000"/>
                <w:szCs w:val="21"/>
                <w:highlight w:val="none"/>
              </w:rPr>
            </w:r>
            <w:r/>
          </w:p>
        </w:tc>
      </w:tr>
      <w:tr>
        <w:trPr>
          <w:trHeight w:val="90"/>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.2</w:t>
            </w:r>
            <w:r>
              <w:rPr>
                <w:rFonts w:ascii="宋体" w:hAnsi="宋体" w:cs="宋体"/>
                <w:color w:val="000000"/>
                <w:spacing w:val="-2"/>
                <w:szCs w:val="21"/>
                <w:highlight w:val="none"/>
              </w:rPr>
            </w:r>
            <w:r/>
          </w:p>
        </w:tc>
        <w:tc>
          <w:tcPr>
            <w:tcW w:w="1179" w:type="dxa"/>
            <w:vAlign w:val="center"/>
            <w:textDirection w:val="lrTb"/>
            <w:noWrap w:val="false"/>
          </w:tcPr>
          <w:p>
            <w:pPr>
              <w:pStyle w:val="971"/>
              <w:jc w:val="center"/>
              <w:keepNext/>
              <w:pageBreakBefore w:val="0"/>
              <w:widowControl/>
              <w:rPr>
                <w:color w:val="000000"/>
                <w:highlight w:val="none"/>
              </w:rPr>
            </w:pPr>
            <w:r>
              <w:rPr>
                <w:rFonts w:hint="eastAsia" w:ascii="宋体" w:hAnsi="宋体" w:cs="宋体"/>
                <w:color w:val="000000"/>
                <w:highlight w:val="none"/>
              </w:rPr>
              <w:t xml:space="preserve">团队组织方</w:t>
            </w:r>
            <w:r>
              <w:rPr>
                <w:color w:val="000000"/>
                <w:highlight w:val="none"/>
              </w:rPr>
            </w:r>
            <w:r/>
          </w:p>
          <w:p>
            <w:pPr>
              <w:pStyle w:val="971"/>
              <w:jc w:val="center"/>
              <w:keepNext/>
              <w:pageBreakBefore w:val="0"/>
              <w:widowControl/>
              <w:rPr>
                <w:rFonts w:ascii="宋体" w:hAnsi="宋体" w:cs="宋体"/>
                <w:color w:val="000000"/>
                <w:spacing w:val="-2"/>
                <w:szCs w:val="21"/>
                <w:highlight w:val="none"/>
              </w:rPr>
            </w:pPr>
            <w:r>
              <w:rPr>
                <w:rFonts w:hint="eastAsia" w:ascii="宋体" w:hAnsi="宋体" w:cs="宋体"/>
                <w:color w:val="000000"/>
                <w:highlight w:val="none"/>
              </w:rPr>
              <w:t xml:space="preserve">案</w:t>
            </w:r>
            <w:r>
              <w:rPr>
                <w:rFonts w:ascii="宋体" w:hAnsi="宋体" w:cs="宋体"/>
                <w:color w:val="000000"/>
                <w:spacing w:val="-2"/>
                <w:szCs w:val="21"/>
                <w:highlight w:val="none"/>
              </w:rPr>
            </w:r>
            <w:r/>
          </w:p>
        </w:tc>
        <w:tc>
          <w:tcPr>
            <w:tcW w:w="6425" w:type="dxa"/>
            <w:vAlign w:val="center"/>
            <w:textDirection w:val="lrTb"/>
            <w:noWrap w:val="false"/>
          </w:tcPr>
          <w:p>
            <w:pPr>
              <w:pStyle w:val="971"/>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评委根据供应商提供的团队组织方案（包括项目团队管理体系、人员安排、人员考核制度等）进行评分： </w:t>
            </w:r>
            <w:r>
              <w:rPr>
                <w:rFonts w:hint="eastAsia" w:ascii="宋体" w:hAnsi="宋体" w:cs="宋体"/>
                <w:color w:val="000000"/>
                <w:spacing w:val="1"/>
                <w:szCs w:val="21"/>
                <w:highlight w:val="none"/>
              </w:rPr>
            </w:r>
            <w:r/>
          </w:p>
          <w:p>
            <w:pPr>
              <w:pStyle w:val="971"/>
              <w:ind w:firstLine="424"/>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1、团队组织方案从实际出发，具体全面、科学合理、可操作性强符合项目要求的得</w:t>
            </w:r>
            <w:r>
              <w:rPr>
                <w:rFonts w:hint="eastAsia" w:ascii="宋体" w:hAnsi="宋体" w:cs="宋体"/>
                <w:color w:val="000000"/>
                <w:spacing w:val="1"/>
                <w:szCs w:val="21"/>
                <w:highlight w:val="none"/>
                <w:lang w:val="en-US" w:eastAsia="zh-CN"/>
              </w:rPr>
              <w:t xml:space="preserve">7</w:t>
            </w:r>
            <w:r>
              <w:rPr>
                <w:rFonts w:hint="eastAsia" w:ascii="宋体" w:hAnsi="宋体" w:cs="宋体"/>
                <w:color w:val="000000"/>
                <w:spacing w:val="1"/>
                <w:szCs w:val="21"/>
                <w:highlight w:val="none"/>
              </w:rPr>
              <w:t xml:space="preserve">分； </w:t>
            </w:r>
            <w:r>
              <w:rPr>
                <w:rFonts w:hint="eastAsia" w:ascii="宋体" w:hAnsi="宋体" w:cs="宋体"/>
                <w:color w:val="000000"/>
                <w:spacing w:val="1"/>
                <w:szCs w:val="21"/>
                <w:highlight w:val="none"/>
              </w:rPr>
            </w:r>
            <w:r/>
          </w:p>
          <w:p>
            <w:pPr>
              <w:pStyle w:val="971"/>
              <w:ind w:firstLine="424"/>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2、团队组织方案比较具体全面、科学合理、可操作基本符合项目要求的得</w:t>
            </w:r>
            <w:r>
              <w:rPr>
                <w:rFonts w:hint="eastAsia" w:ascii="宋体" w:hAnsi="宋体" w:cs="宋体"/>
                <w:color w:val="000000"/>
                <w:spacing w:val="1"/>
                <w:szCs w:val="21"/>
                <w:highlight w:val="none"/>
                <w:lang w:val="en-US" w:eastAsia="zh-CN"/>
              </w:rPr>
              <w:t xml:space="preserve">5</w:t>
            </w:r>
            <w:r>
              <w:rPr>
                <w:rFonts w:hint="eastAsia" w:ascii="宋体" w:hAnsi="宋体" w:cs="宋体"/>
                <w:color w:val="000000"/>
                <w:spacing w:val="1"/>
                <w:szCs w:val="21"/>
                <w:highlight w:val="none"/>
              </w:rPr>
              <w:t xml:space="preserve">分； </w:t>
            </w:r>
            <w:r>
              <w:rPr>
                <w:rFonts w:hint="eastAsia" w:ascii="宋体" w:hAnsi="宋体" w:cs="宋体"/>
                <w:color w:val="000000"/>
                <w:spacing w:val="1"/>
                <w:szCs w:val="21"/>
                <w:highlight w:val="none"/>
              </w:rPr>
            </w:r>
            <w:r/>
          </w:p>
          <w:p>
            <w:pPr>
              <w:pStyle w:val="971"/>
              <w:ind w:firstLine="424"/>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3、团队组织方案不够具体全面、科学合理和可操作性不完全符合项目要求的得</w:t>
            </w:r>
            <w:r>
              <w:rPr>
                <w:rFonts w:hint="eastAsia" w:ascii="宋体" w:hAnsi="宋体"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分；</w:t>
            </w:r>
            <w:r>
              <w:rPr>
                <w:rFonts w:hint="eastAsia" w:ascii="宋体" w:hAnsi="宋体" w:cs="宋体"/>
                <w:color w:val="000000"/>
                <w:spacing w:val="1"/>
                <w:szCs w:val="21"/>
                <w:highlight w:val="none"/>
              </w:rPr>
            </w:r>
            <w:r/>
          </w:p>
          <w:p>
            <w:pPr>
              <w:pStyle w:val="971"/>
              <w:ind w:firstLine="424"/>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4、团队组织方案不合理、无可操作性，不符合项目要求的得1分。 </w:t>
            </w:r>
            <w:r>
              <w:rPr>
                <w:rFonts w:hint="eastAsia" w:ascii="宋体" w:hAnsi="宋体" w:cs="宋体"/>
                <w:color w:val="000000"/>
                <w:spacing w:val="1"/>
                <w:szCs w:val="21"/>
                <w:highlight w:val="none"/>
              </w:rPr>
            </w:r>
            <w:r/>
          </w:p>
          <w:p>
            <w:pPr>
              <w:pStyle w:val="971"/>
              <w:jc w:val="left"/>
              <w:keepNext/>
              <w:pageBreakBefore w:val="0"/>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未提供不得分。</w:t>
            </w:r>
            <w:r>
              <w:rPr>
                <w:rFonts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r>
            <w:r/>
          </w:p>
        </w:tc>
      </w:tr>
      <w:tr>
        <w:trPr>
          <w:trHeight w:val="825"/>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.3</w:t>
            </w:r>
            <w:r>
              <w:rPr>
                <w:rFonts w:ascii="宋体" w:hAnsi="宋体" w:cs="宋体"/>
                <w:color w:val="000000"/>
                <w:spacing w:val="-2"/>
                <w:szCs w:val="21"/>
                <w:highlight w:val="none"/>
              </w:rPr>
            </w:r>
            <w:r/>
          </w:p>
        </w:tc>
        <w:tc>
          <w:tcPr>
            <w:tcW w:w="1179" w:type="dxa"/>
            <w:vAlign w:val="center"/>
            <w:textDirection w:val="lrTb"/>
            <w:noWrap w:val="false"/>
          </w:tcPr>
          <w:p>
            <w:pPr>
              <w:pStyle w:val="971"/>
              <w:jc w:val="center"/>
              <w:keepNext/>
              <w:pageBreakBefore w:val="0"/>
              <w:widowControl/>
              <w:rPr>
                <w:color w:val="000000"/>
                <w:highlight w:val="none"/>
              </w:rPr>
            </w:pPr>
            <w:r>
              <w:rPr>
                <w:rFonts w:hint="eastAsia" w:ascii="宋体" w:hAnsi="宋体" w:cs="宋体"/>
                <w:color w:val="000000"/>
                <w:highlight w:val="none"/>
              </w:rPr>
              <w:t xml:space="preserve">重点难点分</w:t>
            </w:r>
            <w:r>
              <w:rPr>
                <w:color w:val="000000"/>
                <w:highlight w:val="none"/>
              </w:rPr>
            </w:r>
            <w:r/>
          </w:p>
          <w:p>
            <w:pPr>
              <w:pStyle w:val="971"/>
              <w:jc w:val="center"/>
              <w:keepNext/>
              <w:pageBreakBefore w:val="0"/>
              <w:widowControl/>
              <w:rPr>
                <w:color w:val="000000"/>
                <w:highlight w:val="none"/>
              </w:rPr>
            </w:pPr>
            <w:r>
              <w:rPr>
                <w:rFonts w:hint="eastAsia" w:ascii="宋体" w:hAnsi="宋体" w:cs="宋体"/>
                <w:color w:val="000000"/>
                <w:highlight w:val="none"/>
              </w:rPr>
              <w:t xml:space="preserve">析及解决方</w:t>
            </w:r>
            <w:r>
              <w:rPr>
                <w:color w:val="000000"/>
                <w:highlight w:val="none"/>
              </w:rPr>
            </w:r>
            <w:r/>
          </w:p>
          <w:p>
            <w:pPr>
              <w:pStyle w:val="971"/>
              <w:jc w:val="center"/>
              <w:keepNext/>
              <w:pageBreakBefore w:val="0"/>
              <w:widowControl/>
              <w:rPr>
                <w:rFonts w:ascii="宋体" w:hAnsi="宋体" w:cs="宋体"/>
                <w:color w:val="000000"/>
                <w:spacing w:val="-2"/>
                <w:szCs w:val="21"/>
                <w:highlight w:val="none"/>
              </w:rPr>
            </w:pPr>
            <w:r>
              <w:rPr>
                <w:rFonts w:hint="eastAsia" w:ascii="宋体" w:hAnsi="宋体" w:cs="宋体"/>
                <w:color w:val="000000"/>
                <w:highlight w:val="none"/>
              </w:rPr>
              <w:t xml:space="preserve">案</w:t>
            </w:r>
            <w:r>
              <w:rPr>
                <w:rFonts w:ascii="宋体" w:hAnsi="宋体" w:cs="宋体"/>
                <w:color w:val="000000"/>
                <w:spacing w:val="-2"/>
                <w:szCs w:val="21"/>
                <w:highlight w:val="none"/>
              </w:rPr>
            </w:r>
            <w:r/>
          </w:p>
        </w:tc>
        <w:tc>
          <w:tcPr>
            <w:tcW w:w="6425" w:type="dxa"/>
            <w:vAlign w:val="center"/>
            <w:textDirection w:val="lrTb"/>
            <w:noWrap w:val="false"/>
          </w:tcPr>
          <w:p>
            <w:pPr>
              <w:pStyle w:val="971"/>
              <w:keepNext/>
              <w:pageBreakBefore w:val="0"/>
              <w:widowControl/>
              <w:rPr>
                <w:color w:val="000000"/>
                <w:highlight w:val="none"/>
              </w:rPr>
            </w:pPr>
            <w:r>
              <w:rPr>
                <w:rFonts w:hint="eastAsia" w:ascii="宋体" w:hAnsi="宋体" w:cs="宋体"/>
                <w:color w:val="000000"/>
                <w:highlight w:val="none"/>
              </w:rPr>
              <w:t xml:space="preserve">评委根据供应商提供的重点难点分析及解决方案进行评分：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1、重点难点分析及解决方案从实际出发，具体全面、科学合理、可操作性强符合项目要求的得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2、重点难点分析及解决方案比较具体全面、科学合理、可操作基本符合项目要求的得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3、重点难点分析及解决方案不够具体全面、科学合理和可操作性不完全符合项目要求的得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4、重点难点分析及解决方案不合理、无可操作性，不符合项目要求的得1分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未提供不得分。</w:t>
            </w:r>
            <w:r>
              <w:rPr>
                <w:rFonts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r>
            <w:r/>
          </w:p>
        </w:tc>
      </w:tr>
      <w:tr>
        <w:trPr>
          <w:trHeight w:val="868"/>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.4</w:t>
            </w:r>
            <w:r>
              <w:rPr>
                <w:rFonts w:ascii="宋体" w:hAnsi="宋体" w:cs="宋体"/>
                <w:color w:val="000000"/>
                <w:spacing w:val="-2"/>
                <w:szCs w:val="21"/>
                <w:highlight w:val="none"/>
              </w:rPr>
            </w:r>
            <w:r/>
          </w:p>
        </w:tc>
        <w:tc>
          <w:tcPr>
            <w:tcW w:w="1179" w:type="dxa"/>
            <w:vAlign w:val="center"/>
            <w:textDirection w:val="lrTb"/>
            <w:noWrap w:val="false"/>
          </w:tcPr>
          <w:p>
            <w:pPr>
              <w:pStyle w:val="971"/>
              <w:jc w:val="center"/>
              <w:keepNext/>
              <w:pageBreakBefore w:val="0"/>
              <w:widowControl/>
              <w:rPr>
                <w:color w:val="000000"/>
                <w:highlight w:val="none"/>
              </w:rPr>
            </w:pPr>
            <w:r>
              <w:rPr>
                <w:rFonts w:hint="eastAsia" w:ascii="宋体" w:hAnsi="宋体" w:cs="宋体"/>
                <w:color w:val="000000"/>
                <w:highlight w:val="none"/>
              </w:rPr>
              <w:t xml:space="preserve">应急方案及</w:t>
            </w:r>
            <w:r>
              <w:rPr>
                <w:color w:val="000000"/>
                <w:highlight w:val="none"/>
              </w:rPr>
            </w:r>
            <w:r/>
          </w:p>
          <w:p>
            <w:pPr>
              <w:pStyle w:val="971"/>
              <w:jc w:val="center"/>
              <w:keepNext/>
              <w:pageBreakBefore w:val="0"/>
              <w:widowControl/>
              <w:rPr>
                <w:rFonts w:ascii="宋体" w:hAnsi="宋体" w:cs="宋体"/>
                <w:color w:val="000000"/>
                <w:szCs w:val="21"/>
                <w:highlight w:val="none"/>
              </w:rPr>
            </w:pPr>
            <w:r>
              <w:rPr>
                <w:rFonts w:hint="eastAsia" w:ascii="宋体" w:hAnsi="宋体" w:cs="宋体"/>
                <w:color w:val="000000"/>
                <w:highlight w:val="none"/>
              </w:rPr>
              <w:t xml:space="preserve">应急保障措施</w:t>
            </w:r>
            <w:r>
              <w:rPr>
                <w:rFonts w:ascii="宋体" w:hAnsi="宋体" w:cs="宋体"/>
                <w:color w:val="000000"/>
                <w:szCs w:val="21"/>
                <w:highlight w:val="none"/>
              </w:rPr>
            </w:r>
            <w:r/>
          </w:p>
        </w:tc>
        <w:tc>
          <w:tcPr>
            <w:tcW w:w="6425" w:type="dxa"/>
            <w:vAlign w:val="center"/>
            <w:textDirection w:val="lrTb"/>
            <w:noWrap w:val="false"/>
          </w:tcPr>
          <w:p>
            <w:pPr>
              <w:pStyle w:val="971"/>
              <w:keepNext/>
              <w:pageBreakBefore w:val="0"/>
              <w:widowControl/>
              <w:rPr>
                <w:color w:val="000000"/>
                <w:highlight w:val="none"/>
              </w:rPr>
            </w:pPr>
            <w:r>
              <w:rPr>
                <w:rFonts w:hint="eastAsia" w:ascii="宋体" w:hAnsi="宋体" w:cs="宋体"/>
                <w:color w:val="000000"/>
                <w:highlight w:val="none"/>
              </w:rPr>
              <w:t xml:space="preserve">评委根据供应商提供的应急方案及应急保障措施进行评分：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1、应急方案及应急保障措施合理可行，针对性强的得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2、应急方案及应急保障措施较合理可行，针对性较强的得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3、应急方案及应急保障措施基本合理可行，针对性不强的得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 </w:t>
            </w:r>
            <w:r>
              <w:rPr>
                <w:color w:val="000000"/>
                <w:highlight w:val="none"/>
              </w:rPr>
            </w:r>
            <w:r/>
          </w:p>
          <w:p>
            <w:pPr>
              <w:pStyle w:val="971"/>
              <w:ind w:firstLine="420"/>
              <w:jc w:val="left"/>
              <w:keepNext/>
              <w:pageBreakBefore w:val="0"/>
              <w:spacing w:line="264" w:lineRule="auto"/>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rPr>
                <w:rFonts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r>
            <w:r/>
          </w:p>
        </w:tc>
      </w:tr>
      <w:tr>
        <w:trPr>
          <w:trHeight w:val="954"/>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.5</w:t>
            </w:r>
            <w:r>
              <w:rPr>
                <w:rFonts w:ascii="宋体" w:hAnsi="宋体" w:cs="宋体"/>
                <w:color w:val="000000"/>
                <w:spacing w:val="-2"/>
                <w:szCs w:val="21"/>
                <w:highlight w:val="none"/>
              </w:rPr>
            </w:r>
            <w:r/>
          </w:p>
        </w:tc>
        <w:tc>
          <w:tcPr>
            <w:tcW w:w="1179" w:type="dxa"/>
            <w:vAlign w:val="center"/>
            <w:textDirection w:val="lrTb"/>
            <w:noWrap w:val="false"/>
          </w:tcPr>
          <w:p>
            <w:pPr>
              <w:pStyle w:val="971"/>
              <w:jc w:val="center"/>
              <w:keepNext/>
              <w:pageBreakBefore w:val="0"/>
              <w:widowControl/>
              <w:rPr>
                <w:color w:val="000000"/>
                <w:highlight w:val="none"/>
              </w:rPr>
            </w:pPr>
            <w:r>
              <w:rPr>
                <w:rFonts w:hint="eastAsia" w:ascii="宋体" w:hAnsi="宋体" w:cs="宋体"/>
                <w:color w:val="000000"/>
                <w:highlight w:val="none"/>
              </w:rPr>
              <w:t xml:space="preserve">服务承诺及</w:t>
            </w:r>
            <w:r>
              <w:rPr>
                <w:color w:val="000000"/>
                <w:highlight w:val="none"/>
              </w:rPr>
            </w:r>
            <w:r/>
          </w:p>
          <w:p>
            <w:pPr>
              <w:pStyle w:val="971"/>
              <w:jc w:val="center"/>
              <w:keepNext/>
              <w:pageBreakBefore w:val="0"/>
              <w:widowControl/>
              <w:rPr>
                <w:color w:val="000000"/>
                <w:highlight w:val="none"/>
              </w:rPr>
            </w:pPr>
            <w:r>
              <w:rPr>
                <w:rFonts w:hint="eastAsia" w:ascii="宋体" w:hAnsi="宋体" w:cs="宋体"/>
                <w:color w:val="000000"/>
                <w:highlight w:val="none"/>
              </w:rPr>
              <w:t xml:space="preserve">后续服务安</w:t>
            </w:r>
            <w:r>
              <w:rPr>
                <w:color w:val="000000"/>
                <w:highlight w:val="none"/>
              </w:rPr>
            </w:r>
            <w:r/>
          </w:p>
          <w:p>
            <w:pPr>
              <w:pStyle w:val="971"/>
              <w:jc w:val="center"/>
              <w:keepNext/>
              <w:pageBreakBefore w:val="0"/>
              <w:widowControl/>
              <w:rPr>
                <w:rFonts w:ascii="宋体" w:hAnsi="宋体" w:cs="宋体"/>
                <w:color w:val="000000"/>
                <w:spacing w:val="-4"/>
                <w:szCs w:val="21"/>
                <w:highlight w:val="none"/>
              </w:rPr>
            </w:pPr>
            <w:r>
              <w:rPr>
                <w:rFonts w:hint="eastAsia" w:ascii="宋体" w:hAnsi="宋体" w:cs="宋体"/>
                <w:color w:val="000000"/>
                <w:highlight w:val="none"/>
              </w:rPr>
              <w:t xml:space="preserve">排</w:t>
            </w:r>
            <w:r>
              <w:rPr>
                <w:rFonts w:ascii="宋体" w:hAnsi="宋体" w:cs="宋体"/>
                <w:color w:val="000000"/>
                <w:spacing w:val="-4"/>
                <w:szCs w:val="21"/>
                <w:highlight w:val="none"/>
              </w:rPr>
            </w:r>
            <w:r/>
          </w:p>
        </w:tc>
        <w:tc>
          <w:tcPr>
            <w:tcW w:w="6425" w:type="dxa"/>
            <w:vAlign w:val="center"/>
            <w:textDirection w:val="lrTb"/>
            <w:noWrap w:val="false"/>
          </w:tcPr>
          <w:p>
            <w:pPr>
              <w:pStyle w:val="971"/>
              <w:keepNext/>
              <w:pageBreakBefore w:val="0"/>
              <w:widowControl/>
              <w:rPr>
                <w:color w:val="000000"/>
                <w:highlight w:val="none"/>
              </w:rPr>
            </w:pPr>
            <w:r>
              <w:rPr>
                <w:rFonts w:hint="eastAsia" w:ascii="宋体" w:hAnsi="宋体" w:cs="宋体"/>
                <w:color w:val="000000"/>
                <w:highlight w:val="none"/>
              </w:rPr>
              <w:t xml:space="preserve">评委根据供应商提供的服务承诺及服务安排（包括服务目标、服务措施、服务承诺等）进行评分：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1、服务内容明确，有针对性得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2、服务内较明确，针对性较强得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3、服务内容简单，针对性不强得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 未提供不得分。</w:t>
            </w:r>
            <w:r>
              <w:rPr>
                <w:rFonts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r>
            <w:r/>
          </w:p>
        </w:tc>
      </w:tr>
      <w:tr>
        <w:trPr>
          <w:trHeight w:val="954"/>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2.6</w:t>
            </w:r>
            <w:r>
              <w:rPr>
                <w:rFonts w:ascii="宋体" w:hAnsi="宋体" w:cs="宋体"/>
                <w:color w:val="000000"/>
                <w:spacing w:val="-2"/>
                <w:szCs w:val="21"/>
                <w:highlight w:val="none"/>
              </w:rPr>
            </w:r>
            <w:r/>
          </w:p>
        </w:tc>
        <w:tc>
          <w:tcPr>
            <w:tcW w:w="1179" w:type="dxa"/>
            <w:vAlign w:val="center"/>
            <w:textDirection w:val="lrTb"/>
            <w:noWrap w:val="false"/>
          </w:tcPr>
          <w:p>
            <w:pPr>
              <w:pStyle w:val="971"/>
              <w:jc w:val="center"/>
              <w:keepNext/>
              <w:pageBreakBefore w:val="0"/>
              <w:widowControl/>
              <w:rPr>
                <w:color w:val="000000"/>
                <w:highlight w:val="none"/>
              </w:rPr>
            </w:pPr>
            <w:r>
              <w:rPr>
                <w:rFonts w:hint="eastAsia" w:ascii="宋体" w:hAnsi="宋体" w:cs="宋体"/>
                <w:color w:val="000000"/>
                <w:highlight w:val="none"/>
              </w:rPr>
              <w:t xml:space="preserve">作业规范、</w:t>
            </w:r>
            <w:r>
              <w:rPr>
                <w:color w:val="000000"/>
                <w:highlight w:val="none"/>
              </w:rPr>
            </w:r>
            <w:r/>
          </w:p>
          <w:p>
            <w:pPr>
              <w:pStyle w:val="971"/>
              <w:jc w:val="center"/>
              <w:keepNext/>
              <w:pageBreakBefore w:val="0"/>
              <w:widowControl/>
              <w:rPr>
                <w:rFonts w:ascii="宋体" w:hAnsi="宋体" w:cs="宋体"/>
                <w:color w:val="000000"/>
                <w:spacing w:val="-4"/>
                <w:szCs w:val="21"/>
                <w:highlight w:val="none"/>
              </w:rPr>
            </w:pPr>
            <w:r>
              <w:rPr>
                <w:rFonts w:hint="eastAsia" w:ascii="宋体" w:hAnsi="宋体" w:cs="宋体"/>
                <w:color w:val="000000"/>
                <w:highlight w:val="none"/>
              </w:rPr>
              <w:t xml:space="preserve">标准和流程</w:t>
            </w:r>
            <w:r>
              <w:rPr>
                <w:rFonts w:ascii="宋体" w:hAnsi="宋体" w:cs="宋体"/>
                <w:color w:val="000000"/>
                <w:spacing w:val="-4"/>
                <w:szCs w:val="21"/>
                <w:highlight w:val="none"/>
              </w:rPr>
            </w:r>
            <w:r/>
          </w:p>
        </w:tc>
        <w:tc>
          <w:tcPr>
            <w:tcW w:w="6425" w:type="dxa"/>
            <w:vAlign w:val="center"/>
            <w:textDirection w:val="lrTb"/>
            <w:noWrap w:val="false"/>
          </w:tcPr>
          <w:p>
            <w:pPr>
              <w:pStyle w:val="971"/>
              <w:keepNext/>
              <w:pageBreakBefore w:val="0"/>
              <w:widowControl/>
              <w:rPr>
                <w:color w:val="000000"/>
                <w:highlight w:val="none"/>
              </w:rPr>
            </w:pPr>
            <w:r>
              <w:rPr>
                <w:rFonts w:hint="eastAsia" w:ascii="宋体" w:hAnsi="宋体" w:cs="宋体"/>
                <w:color w:val="000000"/>
                <w:highlight w:val="none"/>
              </w:rPr>
              <w:t xml:space="preserve">评委根据供应商提供的护理服务作业规范、标准和流程进行评分：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1、流程体系合理可行，得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color w:val="000000"/>
                <w:highlight w:val="none"/>
              </w:rPr>
            </w:pPr>
            <w:r>
              <w:rPr>
                <w:rFonts w:hint="eastAsia" w:ascii="宋体" w:hAnsi="宋体" w:cs="宋体"/>
                <w:color w:val="000000"/>
                <w:highlight w:val="none"/>
              </w:rPr>
              <w:t xml:space="preserve">2、流程体系较合理可行，得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 </w:t>
            </w:r>
            <w:r>
              <w:rPr>
                <w:color w:val="000000"/>
                <w:highlight w:val="none"/>
              </w:rPr>
            </w:r>
            <w:r/>
          </w:p>
          <w:p>
            <w:pPr>
              <w:pStyle w:val="971"/>
              <w:ind w:firstLine="420"/>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3、流程体系</w:t>
            </w:r>
            <w:r>
              <w:rPr>
                <w:rStyle w:val="1050"/>
                <w:rFonts w:hint="eastAsia"/>
                <w:color w:val="000000"/>
                <w:highlight w:val="none"/>
              </w:rPr>
              <w:t xml:space="preserve">不合理</w:t>
            </w:r>
            <w:r>
              <w:rPr>
                <w:rFonts w:hint="eastAsia" w:ascii="宋体" w:hAnsi="宋体" w:cs="宋体"/>
                <w:color w:val="000000"/>
                <w:highlight w:val="none"/>
              </w:rPr>
              <w:t xml:space="preserve">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未提供不得分。</w:t>
            </w:r>
            <w:r>
              <w:rPr>
                <w:rFonts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ascii="宋体" w:hAnsi="宋体" w:cs="宋体"/>
                <w:color w:val="000000"/>
                <w:spacing w:val="-6"/>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pacing w:val="-6"/>
                <w:szCs w:val="21"/>
                <w:highlight w:val="none"/>
              </w:rPr>
            </w:r>
            <w:r/>
          </w:p>
        </w:tc>
      </w:tr>
      <w:tr>
        <w:trPr>
          <w:trHeight w:val="455"/>
        </w:trPr>
        <w:tc>
          <w:tcPr>
            <w:gridSpan w:val="5"/>
            <w:tcW w:w="9612" w:type="dxa"/>
            <w:vAlign w:val="center"/>
            <w:textDirection w:val="lrTb"/>
            <w:noWrap w:val="false"/>
          </w:tcPr>
          <w:p>
            <w:pPr>
              <w:pStyle w:val="971"/>
              <w:keepNext/>
              <w:pageBreakBefore w:val="0"/>
              <w:spacing w:line="264" w:lineRule="auto"/>
              <w:rPr>
                <w:rFonts w:hint="eastAsia"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3.业绩</w:t>
            </w:r>
            <w:r>
              <w:rPr>
                <w:rFonts w:hint="eastAsia" w:ascii="宋体" w:hAnsi="宋体" w:cs="宋体"/>
                <w:b/>
                <w:bCs/>
                <w:color w:val="000000"/>
                <w:spacing w:val="-3"/>
                <w:szCs w:val="21"/>
                <w:highlight w:val="none"/>
                <w:lang w:val="en-US" w:eastAsia="zh-CN"/>
              </w:rPr>
              <w:t xml:space="preserve">9分</w:t>
            </w:r>
            <w:r>
              <w:rPr>
                <w:rFonts w:hint="eastAsia" w:ascii="宋体" w:hAnsi="宋体" w:eastAsia="宋体" w:cs="宋体"/>
                <w:color w:val="000000"/>
                <w:szCs w:val="21"/>
                <w:highlight w:val="none"/>
                <w:lang w:val="en-US" w:eastAsia="zh-CN"/>
              </w:rPr>
            </w:r>
            <w:r/>
          </w:p>
        </w:tc>
      </w:tr>
      <w:tr>
        <w:trPr>
          <w:trHeight w:val="1015"/>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3.1</w:t>
            </w:r>
            <w:r>
              <w:rPr>
                <w:rFonts w:ascii="宋体" w:hAnsi="宋体" w:cs="宋体"/>
                <w:color w:val="000000"/>
                <w:spacing w:val="-2"/>
                <w:szCs w:val="21"/>
                <w:highlight w:val="none"/>
              </w:rPr>
            </w:r>
            <w:r/>
          </w:p>
        </w:tc>
        <w:tc>
          <w:tcPr>
            <w:tcW w:w="1179" w:type="dxa"/>
            <w:vAlign w:val="center"/>
            <w:textDirection w:val="lrTb"/>
            <w:noWrap w:val="false"/>
          </w:tcPr>
          <w:p>
            <w:pPr>
              <w:pStyle w:val="971"/>
              <w:jc w:val="center"/>
              <w:keepNext/>
              <w:pageBreakBefore w:val="0"/>
              <w:spacing w:before="69" w:line="264" w:lineRule="auto"/>
              <w:rPr>
                <w:rFonts w:ascii="宋体" w:hAnsi="宋体" w:cs="宋体"/>
                <w:color w:val="000000"/>
                <w:spacing w:val="-2"/>
                <w:szCs w:val="21"/>
                <w:highlight w:val="none"/>
              </w:rPr>
            </w:pPr>
            <w:r>
              <w:rPr>
                <w:rFonts w:ascii="宋体" w:hAnsi="宋体" w:cs="宋体"/>
                <w:color w:val="000000"/>
                <w:spacing w:val="-1"/>
                <w:szCs w:val="21"/>
                <w:highlight w:val="none"/>
              </w:rPr>
              <w:t xml:space="preserve">业绩</w:t>
            </w:r>
            <w:r>
              <w:rPr>
                <w:rFonts w:ascii="宋体" w:hAnsi="宋体" w:cs="宋体"/>
                <w:color w:val="000000"/>
                <w:spacing w:val="-2"/>
                <w:szCs w:val="21"/>
                <w:highlight w:val="none"/>
              </w:rPr>
            </w:r>
            <w:r/>
          </w:p>
        </w:tc>
        <w:tc>
          <w:tcPr>
            <w:tcW w:w="6425" w:type="dxa"/>
            <w:vAlign w:val="center"/>
            <w:textDirection w:val="lrTb"/>
            <w:noWrap w:val="false"/>
          </w:tcPr>
          <w:p>
            <w:pPr>
              <w:pStyle w:val="971"/>
              <w:keepNext/>
              <w:pageBreakBefore w:val="0"/>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提供自20</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01</w:t>
            </w:r>
            <w:r>
              <w:rPr>
                <w:rFonts w:hint="eastAsia" w:ascii="宋体" w:hAnsi="宋体" w:cs="宋体"/>
                <w:color w:val="000000"/>
                <w:szCs w:val="21"/>
                <w:highlight w:val="none"/>
              </w:rPr>
              <w:t xml:space="preserve">月01日以来，具有类似项目业绩的，每提供一个证明材料得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分，最多得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分。（请提供合同复印件或中标（成交）通知书复印件并加盖</w:t>
            </w:r>
            <w:r>
              <w:rPr>
                <w:rFonts w:hint="eastAsia" w:ascii="宋体" w:hAnsi="宋体" w:cs="宋体"/>
                <w:color w:val="000000"/>
                <w:szCs w:val="21"/>
                <w:highlight w:val="none"/>
                <w:lang w:eastAsia="zh-CN"/>
              </w:rPr>
              <w:t xml:space="preserve">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时间等内容以合同为准）。</w:t>
            </w:r>
            <w:r>
              <w:rPr>
                <w:rFonts w:ascii="宋体" w:hAnsi="宋体" w:cs="宋体"/>
                <w:color w:val="000000"/>
                <w:szCs w:val="21"/>
                <w:highlight w:val="none"/>
              </w:rPr>
            </w:r>
            <w:r/>
          </w:p>
        </w:tc>
        <w:tc>
          <w:tcPr>
            <w:tcW w:w="637" w:type="dxa"/>
            <w:vAlign w:val="center"/>
            <w:textDirection w:val="lrTb"/>
            <w:noWrap w:val="false"/>
          </w:tcPr>
          <w:p>
            <w:pPr>
              <w:pStyle w:val="971"/>
              <w:jc w:val="center"/>
              <w:keepNext/>
              <w:pageBreakBefore w:val="0"/>
              <w:spacing w:line="264"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971"/>
              <w:jc w:val="center"/>
              <w:keepNext/>
              <w:pageBreakBefore w:val="0"/>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hint="eastAsia" w:ascii="宋体" w:hAnsi="宋体" w:cs="宋体"/>
                <w:color w:val="000000"/>
                <w:szCs w:val="21"/>
                <w:highlight w:val="none"/>
              </w:rPr>
            </w:r>
            <w:r/>
          </w:p>
        </w:tc>
      </w:tr>
      <w:tr>
        <w:trPr>
          <w:trHeight w:val="269"/>
        </w:trPr>
        <w:tc>
          <w:tcPr>
            <w:gridSpan w:val="5"/>
            <w:tcW w:w="9612" w:type="dxa"/>
            <w:vAlign w:val="top"/>
            <w:textDirection w:val="lrTb"/>
            <w:noWrap w:val="false"/>
          </w:tcPr>
          <w:p>
            <w:pPr>
              <w:pStyle w:val="971"/>
              <w:keepNext/>
              <w:pageBreakBefore w:val="0"/>
              <w:spacing w:before="123"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4.履约能力</w:t>
            </w:r>
            <w:r>
              <w:rPr>
                <w:rFonts w:hint="eastAsia" w:ascii="宋体" w:hAnsi="宋体" w:cs="宋体"/>
                <w:b/>
                <w:bCs/>
                <w:color w:val="000000"/>
                <w:spacing w:val="-3"/>
                <w:szCs w:val="21"/>
                <w:highlight w:val="none"/>
                <w:lang w:val="en-US" w:eastAsia="zh-CN"/>
              </w:rPr>
              <w:t xml:space="preserve">25分</w:t>
            </w:r>
            <w:r>
              <w:rPr>
                <w:rFonts w:ascii="宋体" w:hAnsi="宋体" w:eastAsia="宋体" w:cs="宋体"/>
                <w:color w:val="000000"/>
                <w:szCs w:val="21"/>
                <w:highlight w:val="none"/>
                <w:lang w:val="en-US" w:eastAsia="zh-CN"/>
              </w:rPr>
            </w:r>
            <w:r/>
          </w:p>
        </w:tc>
      </w:tr>
      <w:tr>
        <w:trPr>
          <w:trHeight w:val="792"/>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4.1</w:t>
            </w:r>
            <w:r>
              <w:rPr>
                <w:rFonts w:ascii="宋体" w:hAnsi="宋体" w:cs="宋体"/>
                <w:color w:val="000000"/>
                <w:spacing w:val="-2"/>
                <w:szCs w:val="21"/>
                <w:highlight w:val="none"/>
              </w:rPr>
            </w:r>
            <w:r/>
          </w:p>
        </w:tc>
        <w:tc>
          <w:tcPr>
            <w:tcW w:w="1179" w:type="dxa"/>
            <w:vAlign w:val="center"/>
            <w:textDirection w:val="lrTb"/>
            <w:noWrap w:val="false"/>
          </w:tcPr>
          <w:p>
            <w:pPr>
              <w:pStyle w:val="971"/>
              <w:keepNext/>
              <w:pageBreakBefore w:val="0"/>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rPr>
                <w:rFonts w:hint="eastAsia" w:ascii="宋体" w:hAnsi="宋体" w:cs="宋体"/>
                <w:color w:val="000000"/>
                <w:spacing w:val="-1"/>
                <w:szCs w:val="21"/>
                <w:highlight w:val="none"/>
              </w:rPr>
            </w:r>
            <w:r/>
          </w:p>
        </w:tc>
        <w:tc>
          <w:tcPr>
            <w:tcW w:w="6425" w:type="dxa"/>
            <w:vAlign w:val="center"/>
            <w:textDirection w:val="lrTb"/>
            <w:noWrap w:val="false"/>
          </w:tcPr>
          <w:p>
            <w:pPr>
              <w:pStyle w:val="971"/>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供应商具有民政部门评定的</w:t>
            </w:r>
            <w:r>
              <w:rPr>
                <w:rFonts w:hint="eastAsia" w:ascii="宋体" w:hAnsi="宋体"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A级及以上居家养老组织或养老服务机构等级证书的得</w:t>
            </w:r>
            <w:r>
              <w:rPr>
                <w:rFonts w:hint="eastAsia" w:ascii="宋体" w:hAnsi="宋体"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分，无等级证书或未提供不得分。</w:t>
            </w:r>
            <w:r>
              <w:rPr>
                <w:rFonts w:hint="eastAsia" w:ascii="宋体" w:hAnsi="宋体" w:cs="宋体"/>
                <w:color w:val="000000"/>
                <w:spacing w:val="1"/>
                <w:szCs w:val="21"/>
                <w:highlight w:val="none"/>
              </w:rPr>
            </w:r>
            <w:r/>
          </w:p>
          <w:p>
            <w:pPr>
              <w:pStyle w:val="971"/>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（须提供相关证书复印件</w:t>
            </w:r>
            <w:r>
              <w:rPr>
                <w:rFonts w:hint="eastAsia" w:ascii="宋体" w:hAnsi="宋体" w:cs="宋体"/>
                <w:color w:val="000000"/>
                <w:spacing w:val="1"/>
                <w:szCs w:val="21"/>
                <w:highlight w:val="none"/>
                <w:lang w:eastAsia="zh-CN"/>
              </w:rPr>
              <w:t xml:space="preserve">加盖电子公章</w:t>
            </w:r>
            <w:r>
              <w:rPr>
                <w:rFonts w:hint="eastAsia" w:ascii="宋体" w:hAnsi="宋体" w:cs="宋体"/>
                <w:color w:val="000000"/>
                <w:spacing w:val="1"/>
                <w:szCs w:val="21"/>
                <w:highlight w:val="none"/>
              </w:rPr>
              <w:t xml:space="preserve">，未提供不得分）</w:t>
            </w:r>
            <w:r>
              <w:rPr>
                <w:rFonts w:hint="eastAsia"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hint="eastAsia" w:ascii="宋体" w:hAnsi="宋体" w:cs="宋体"/>
                <w:color w:val="000000"/>
                <w:spacing w:val="-6"/>
                <w:szCs w:val="21"/>
                <w:highlight w:val="none"/>
              </w:rPr>
            </w:r>
            <w:r/>
          </w:p>
        </w:tc>
      </w:tr>
      <w:tr>
        <w:trPr>
          <w:trHeight w:val="896"/>
        </w:trPr>
        <w:tc>
          <w:tcPr>
            <w:tcW w:w="519" w:type="dxa"/>
            <w:vAlign w:val="center"/>
            <w:textDirection w:val="lrTb"/>
            <w:noWrap w:val="false"/>
          </w:tcPr>
          <w:p>
            <w:pPr>
              <w:pStyle w:val="971"/>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4</w:t>
            </w:r>
            <w:r>
              <w:rPr>
                <w:rFonts w:ascii="宋体" w:hAnsi="宋体" w:cs="宋体"/>
                <w:color w:val="000000"/>
                <w:spacing w:val="-2"/>
                <w:szCs w:val="21"/>
                <w:highlight w:val="none"/>
              </w:rPr>
              <w:t xml:space="preserve">.2</w:t>
            </w:r>
            <w:r>
              <w:rPr>
                <w:rFonts w:ascii="宋体" w:hAnsi="宋体" w:cs="宋体"/>
                <w:color w:val="000000"/>
                <w:spacing w:val="-2"/>
                <w:szCs w:val="21"/>
                <w:highlight w:val="none"/>
              </w:rPr>
            </w:r>
            <w:r/>
          </w:p>
        </w:tc>
        <w:tc>
          <w:tcPr>
            <w:tcW w:w="1179" w:type="dxa"/>
            <w:vAlign w:val="center"/>
            <w:textDirection w:val="lrTb"/>
            <w:noWrap w:val="false"/>
          </w:tcPr>
          <w:p>
            <w:pPr>
              <w:pStyle w:val="971"/>
              <w:keepNext/>
              <w:pageBreakBefore w:val="0"/>
              <w:spacing w:before="69" w:line="264" w:lineRule="auto"/>
              <w:rPr>
                <w:rFonts w:hint="eastAsia" w:ascii="宋体" w:hAnsi="宋体" w:eastAsia="宋体" w:cs="宋体"/>
                <w:color w:val="000000"/>
                <w:spacing w:val="-1"/>
                <w:szCs w:val="21"/>
                <w:highlight w:val="none"/>
                <w:lang w:eastAsia="zh-CN"/>
              </w:rPr>
            </w:pPr>
            <w:r>
              <w:rPr>
                <w:rFonts w:hint="eastAsia" w:ascii="宋体" w:hAnsi="宋体" w:cs="宋体"/>
                <w:color w:val="000000"/>
                <w:spacing w:val="-1"/>
                <w:szCs w:val="21"/>
                <w:highlight w:val="none"/>
                <w:lang w:eastAsia="zh-CN"/>
              </w:rPr>
              <w:t xml:space="preserve">项目负责人</w:t>
            </w:r>
            <w:r>
              <w:rPr>
                <w:rFonts w:hint="eastAsia" w:ascii="宋体" w:hAnsi="宋体" w:eastAsia="宋体" w:cs="宋体"/>
                <w:color w:val="000000"/>
                <w:spacing w:val="-1"/>
                <w:szCs w:val="21"/>
                <w:highlight w:val="none"/>
                <w:lang w:eastAsia="zh-CN"/>
              </w:rPr>
            </w:r>
            <w:r/>
          </w:p>
        </w:tc>
        <w:tc>
          <w:tcPr>
            <w:tcW w:w="6425" w:type="dxa"/>
            <w:vAlign w:val="center"/>
            <w:textDirection w:val="lrTb"/>
            <w:noWrap w:val="false"/>
          </w:tcPr>
          <w:p>
            <w:pPr>
              <w:pStyle w:val="971"/>
              <w:jc w:val="left"/>
              <w:keepNext/>
              <w:pageBreakBefore w:val="0"/>
              <w:spacing w:line="264" w:lineRule="auto"/>
              <w:rPr>
                <w:rFonts w:ascii="宋体" w:hAnsi="宋体" w:cs="宋体"/>
                <w:color w:val="000000"/>
                <w:spacing w:val="1"/>
                <w:szCs w:val="21"/>
                <w:highlight w:val="none"/>
                <w:lang w:val="en-US"/>
              </w:rPr>
            </w:pPr>
            <w:r>
              <w:rPr>
                <w:rFonts w:hint="eastAsia" w:ascii="宋体" w:hAnsi="宋体" w:cs="宋体"/>
                <w:color w:val="000000"/>
                <w:spacing w:val="1"/>
                <w:szCs w:val="21"/>
                <w:highlight w:val="none"/>
              </w:rPr>
              <w:t xml:space="preserve">项目负责人要求：具有</w:t>
            </w:r>
            <w:r>
              <w:rPr>
                <w:rFonts w:hint="eastAsia" w:ascii="宋体" w:hAnsi="宋体" w:cs="宋体"/>
                <w:color w:val="000000"/>
                <w:spacing w:val="1"/>
                <w:szCs w:val="21"/>
                <w:highlight w:val="none"/>
                <w:lang w:eastAsia="zh-CN"/>
              </w:rPr>
              <w:t xml:space="preserve">初级</w:t>
            </w:r>
            <w:r>
              <w:rPr>
                <w:rFonts w:hint="eastAsia" w:ascii="宋体" w:hAnsi="宋体" w:cs="宋体"/>
                <w:color w:val="000000"/>
                <w:spacing w:val="1"/>
                <w:szCs w:val="21"/>
                <w:highlight w:val="none"/>
              </w:rPr>
              <w:t xml:space="preserve">养老护理员证书</w:t>
            </w:r>
            <w:r>
              <w:rPr>
                <w:rFonts w:hint="eastAsia" w:ascii="宋体" w:hAnsi="宋体" w:cs="宋体"/>
                <w:color w:val="000000"/>
                <w:spacing w:val="1"/>
                <w:szCs w:val="21"/>
                <w:highlight w:val="none"/>
                <w:lang w:eastAsia="zh-CN"/>
              </w:rPr>
              <w:t xml:space="preserve">得</w:t>
            </w:r>
            <w:r>
              <w:rPr>
                <w:rFonts w:hint="eastAsia" w:ascii="宋体" w:hAnsi="宋体" w:cs="宋体"/>
                <w:color w:val="000000"/>
                <w:spacing w:val="1"/>
                <w:szCs w:val="21"/>
                <w:highlight w:val="none"/>
                <w:lang w:val="en-US" w:eastAsia="zh-CN"/>
              </w:rPr>
              <w:t xml:space="preserve">1分，具有中</w:t>
            </w:r>
            <w:r>
              <w:rPr>
                <w:rFonts w:hint="eastAsia" w:ascii="宋体" w:hAnsi="宋体" w:cs="宋体"/>
                <w:color w:val="000000"/>
                <w:spacing w:val="1"/>
                <w:szCs w:val="21"/>
                <w:highlight w:val="none"/>
              </w:rPr>
              <w:t xml:space="preserve">级及以上养老护理员证书的</w:t>
            </w:r>
            <w:r>
              <w:rPr>
                <w:rFonts w:hint="eastAsia" w:ascii="宋体" w:hAnsi="宋体" w:cs="宋体"/>
                <w:color w:val="000000"/>
                <w:spacing w:val="1"/>
                <w:szCs w:val="21"/>
                <w:highlight w:val="none"/>
                <w:lang w:eastAsia="zh-CN"/>
              </w:rPr>
              <w:t xml:space="preserve">得</w:t>
            </w:r>
            <w:r>
              <w:rPr>
                <w:rFonts w:hint="eastAsia" w:ascii="宋体" w:hAnsi="宋体" w:cs="宋体"/>
                <w:color w:val="000000"/>
                <w:spacing w:val="1"/>
                <w:szCs w:val="21"/>
                <w:highlight w:val="none"/>
                <w:lang w:val="en-US" w:eastAsia="zh-CN"/>
              </w:rPr>
              <w:t xml:space="preserve">2</w:t>
            </w:r>
            <w:r>
              <w:rPr>
                <w:rFonts w:hint="eastAsia" w:ascii="宋体" w:hAnsi="宋体" w:cs="宋体"/>
                <w:color w:val="000000"/>
                <w:spacing w:val="1"/>
                <w:szCs w:val="21"/>
                <w:highlight w:val="none"/>
              </w:rPr>
              <w:t xml:space="preserve">分</w:t>
            </w:r>
            <w:r>
              <w:rPr>
                <w:rFonts w:hint="eastAsia" w:ascii="宋体" w:hAnsi="宋体" w:cs="宋体"/>
                <w:color w:val="000000"/>
                <w:spacing w:val="1"/>
                <w:szCs w:val="21"/>
                <w:highlight w:val="none"/>
                <w:lang w:eastAsia="zh-CN"/>
              </w:rPr>
              <w:t xml:space="preserve">；同时项目负责人拥有</w:t>
            </w:r>
            <w:r>
              <w:rPr>
                <w:rFonts w:hint="eastAsia" w:ascii="宋体" w:hAnsi="宋体" w:cs="宋体"/>
                <w:color w:val="000000"/>
                <w:spacing w:val="1"/>
                <w:szCs w:val="21"/>
                <w:highlight w:val="none"/>
                <w:lang w:val="en-US" w:eastAsia="zh-CN"/>
              </w:rPr>
              <w:t xml:space="preserve">2</w:t>
            </w:r>
            <w:r>
              <w:rPr>
                <w:rFonts w:hint="eastAsia" w:ascii="宋体" w:hAnsi="宋体" w:cs="宋体"/>
                <w:color w:val="000000"/>
                <w:spacing w:val="1"/>
                <w:szCs w:val="21"/>
                <w:highlight w:val="none"/>
                <w:lang w:eastAsia="zh-CN"/>
              </w:rPr>
              <w:t xml:space="preserve">年（含</w:t>
            </w:r>
            <w:r>
              <w:rPr>
                <w:rFonts w:hint="eastAsia" w:ascii="宋体" w:hAnsi="宋体" w:cs="宋体"/>
                <w:color w:val="000000"/>
                <w:spacing w:val="1"/>
                <w:szCs w:val="21"/>
                <w:highlight w:val="none"/>
                <w:lang w:val="en-US" w:eastAsia="zh-CN"/>
              </w:rPr>
              <w:t xml:space="preserve">2</w:t>
            </w:r>
            <w:r>
              <w:rPr>
                <w:rFonts w:hint="eastAsia" w:ascii="宋体" w:hAnsi="宋体" w:cs="宋体"/>
                <w:color w:val="000000"/>
                <w:spacing w:val="1"/>
                <w:szCs w:val="21"/>
                <w:highlight w:val="none"/>
                <w:lang w:eastAsia="zh-CN"/>
              </w:rPr>
              <w:t xml:space="preserve">年）以上居家养老服务的工作经验的</w:t>
            </w:r>
            <w:r>
              <w:rPr>
                <w:rFonts w:hint="eastAsia" w:ascii="宋体" w:hAnsi="宋体" w:cs="宋体"/>
                <w:color w:val="000000"/>
                <w:spacing w:val="1"/>
                <w:szCs w:val="21"/>
                <w:highlight w:val="none"/>
                <w:lang w:val="en-US" w:eastAsia="zh-CN"/>
              </w:rPr>
              <w:t xml:space="preserve">加2</w:t>
            </w:r>
            <w:r>
              <w:rPr>
                <w:rFonts w:hint="eastAsia" w:ascii="宋体" w:hAnsi="宋体" w:cs="宋体"/>
                <w:color w:val="000000"/>
                <w:spacing w:val="1"/>
                <w:szCs w:val="21"/>
                <w:highlight w:val="none"/>
                <w:lang w:eastAsia="zh-CN"/>
              </w:rPr>
              <w:t xml:space="preserve">分，</w:t>
            </w:r>
            <w:r>
              <w:rPr>
                <w:rFonts w:hint="eastAsia" w:ascii="宋体" w:hAnsi="宋体" w:cs="宋体"/>
                <w:color w:val="000000"/>
                <w:spacing w:val="1"/>
                <w:szCs w:val="21"/>
                <w:highlight w:val="none"/>
                <w:lang w:val="en-US" w:eastAsia="zh-CN"/>
              </w:rPr>
              <w:t xml:space="preserve">本项合计最高得4分。</w:t>
            </w:r>
            <w:r>
              <w:rPr>
                <w:rFonts w:ascii="宋体" w:hAnsi="宋体" w:cs="宋体"/>
                <w:color w:val="000000"/>
                <w:spacing w:val="1"/>
                <w:szCs w:val="21"/>
                <w:highlight w:val="none"/>
                <w:lang w:val="en-US"/>
              </w:rPr>
            </w:r>
            <w:r/>
          </w:p>
          <w:p>
            <w:pPr>
              <w:pStyle w:val="971"/>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（以过往居家养老服务合同签署人姓名和签署时间或任职证明等有效证明材料为准，以上</w:t>
            </w:r>
            <w:r>
              <w:rPr>
                <w:rFonts w:hint="eastAsia" w:ascii="宋体" w:hAnsi="宋体" w:cs="宋体"/>
                <w:color w:val="000000"/>
                <w:spacing w:val="1"/>
                <w:szCs w:val="21"/>
                <w:highlight w:val="none"/>
                <w:lang w:eastAsia="zh-CN"/>
              </w:rPr>
              <w:t xml:space="preserve">人员</w:t>
            </w:r>
            <w:r>
              <w:rPr>
                <w:rFonts w:hint="eastAsia" w:ascii="宋体" w:hAnsi="宋体" w:cs="宋体"/>
                <w:color w:val="000000"/>
                <w:spacing w:val="1"/>
                <w:szCs w:val="21"/>
                <w:highlight w:val="none"/>
              </w:rPr>
              <w:t xml:space="preserve">须提供相应的证明材料加盖供应商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公章以及劳动合同或供应商为其缴纳近</w:t>
            </w:r>
            <w:r>
              <w:rPr>
                <w:rFonts w:hint="eastAsia" w:ascii="宋体" w:hAnsi="宋体" w:cs="宋体"/>
                <w:color w:val="000000"/>
                <w:spacing w:val="1"/>
                <w:szCs w:val="21"/>
                <w:highlight w:val="none"/>
                <w:lang w:eastAsia="zh-CN"/>
              </w:rPr>
              <w:t xml:space="preserve">六</w:t>
            </w:r>
            <w:r>
              <w:rPr>
                <w:rFonts w:hint="eastAsia" w:ascii="宋体" w:hAnsi="宋体" w:cs="宋体"/>
                <w:color w:val="000000"/>
                <w:spacing w:val="1"/>
                <w:szCs w:val="21"/>
                <w:highlight w:val="none"/>
              </w:rPr>
              <w:t xml:space="preserve">个月</w:t>
            </w:r>
            <w:r>
              <w:rPr>
                <w:rFonts w:hint="eastAsia" w:ascii="宋体" w:hAnsi="宋体" w:cs="宋体"/>
                <w:color w:val="000000"/>
                <w:spacing w:val="1"/>
                <w:szCs w:val="21"/>
                <w:highlight w:val="none"/>
                <w:lang w:eastAsia="zh-CN"/>
              </w:rPr>
              <w:t xml:space="preserve">内任意一个月</w:t>
            </w:r>
            <w:r>
              <w:rPr>
                <w:rFonts w:hint="eastAsia" w:ascii="宋体" w:hAnsi="宋体" w:cs="宋体"/>
                <w:color w:val="000000"/>
                <w:spacing w:val="1"/>
                <w:szCs w:val="21"/>
                <w:highlight w:val="none"/>
              </w:rPr>
              <w:t xml:space="preserve">社保证明材料加盖供应商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w:t>
            </w:r>
            <w:r>
              <w:rPr>
                <w:rFonts w:hint="eastAsia" w:ascii="宋体" w:hAnsi="宋体" w:cs="宋体"/>
                <w:color w:val="000000"/>
                <w:spacing w:val="1"/>
                <w:szCs w:val="21"/>
                <w:highlight w:val="none"/>
              </w:rPr>
            </w:r>
            <w:r/>
          </w:p>
        </w:tc>
        <w:tc>
          <w:tcPr>
            <w:tcW w:w="637" w:type="dxa"/>
            <w:vAlign w:val="center"/>
            <w:textDirection w:val="lrTb"/>
            <w:noWrap w:val="false"/>
          </w:tcPr>
          <w:p>
            <w:pPr>
              <w:pStyle w:val="971"/>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971"/>
              <w:jc w:val="center"/>
              <w:keepNext/>
              <w:pageBreakBefore w:val="0"/>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hint="eastAsia" w:ascii="宋体" w:hAnsi="宋体" w:cs="宋体"/>
                <w:color w:val="000000"/>
                <w:spacing w:val="-6"/>
                <w:szCs w:val="21"/>
                <w:highlight w:val="none"/>
              </w:rPr>
            </w:r>
            <w:r/>
          </w:p>
        </w:tc>
      </w:tr>
      <w:tr>
        <w:trPr>
          <w:trHeight w:val="90"/>
        </w:trPr>
        <w:tc>
          <w:tcPr>
            <w:tcW w:w="519" w:type="dxa"/>
            <w:vAlign w:val="center"/>
            <w:textDirection w:val="lrTb"/>
            <w:noWrap w:val="false"/>
          </w:tcPr>
          <w:p>
            <w:pPr>
              <w:pStyle w:val="971"/>
              <w:jc w:val="center"/>
              <w:keepNext/>
              <w:pageBreakBefore w:val="0"/>
              <w:spacing w:line="264" w:lineRule="auto"/>
              <w:rPr>
                <w:rFonts w:ascii="宋体" w:hAnsi="宋体" w:cs="宋体"/>
                <w:color w:val="000000"/>
                <w:spacing w:val="-3"/>
                <w:szCs w:val="21"/>
                <w:highlight w:val="none"/>
              </w:rPr>
            </w:pPr>
            <w:r>
              <w:rPr>
                <w:rFonts w:hint="eastAsia" w:ascii="宋体" w:hAnsi="宋体" w:cs="宋体"/>
                <w:color w:val="000000"/>
                <w:spacing w:val="-3"/>
                <w:szCs w:val="21"/>
                <w:highlight w:val="none"/>
              </w:rPr>
              <w:t xml:space="preserve">4.3</w:t>
            </w:r>
            <w:r>
              <w:rPr>
                <w:rFonts w:ascii="宋体" w:hAnsi="宋体" w:cs="宋体"/>
                <w:color w:val="000000"/>
                <w:spacing w:val="-3"/>
                <w:szCs w:val="21"/>
                <w:highlight w:val="none"/>
              </w:rPr>
            </w:r>
            <w:r/>
          </w:p>
        </w:tc>
        <w:tc>
          <w:tcPr>
            <w:tcW w:w="1179" w:type="dxa"/>
            <w:vAlign w:val="center"/>
            <w:textDirection w:val="lrTb"/>
            <w:noWrap w:val="false"/>
          </w:tcPr>
          <w:p>
            <w:pPr>
              <w:pStyle w:val="971"/>
              <w:keepNext/>
              <w:pageBreakBefore w:val="0"/>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项目组成员</w:t>
            </w:r>
            <w:r>
              <w:rPr>
                <w:rFonts w:hint="eastAsia" w:ascii="宋体" w:hAnsi="宋体" w:eastAsia="宋体" w:cs="宋体"/>
                <w:color w:val="000000"/>
                <w:szCs w:val="21"/>
                <w:highlight w:val="none"/>
                <w:lang w:eastAsia="zh-CN"/>
              </w:rPr>
            </w:r>
            <w:r/>
          </w:p>
        </w:tc>
        <w:tc>
          <w:tcPr>
            <w:tcW w:w="6425" w:type="dxa"/>
            <w:vAlign w:val="center"/>
            <w:textDirection w:val="lrTb"/>
            <w:noWrap w:val="false"/>
          </w:tcPr>
          <w:p>
            <w:pPr>
              <w:pStyle w:val="971"/>
              <w:jc w:val="left"/>
              <w:keepNext/>
              <w:pageBreakBefore w:val="0"/>
              <w:spacing w:line="264" w:lineRule="auto"/>
              <w:rPr>
                <w:rFonts w:hint="eastAsia" w:ascii="宋体" w:hAnsi="宋体" w:cs="宋体"/>
                <w:color w:val="000000"/>
                <w:spacing w:val="1"/>
                <w:szCs w:val="21"/>
                <w:highlight w:val="none"/>
                <w:lang w:eastAsia="zh-CN"/>
              </w:rPr>
            </w:pPr>
            <w:r>
              <w:rPr>
                <w:rFonts w:hint="eastAsia" w:ascii="宋体" w:hAnsi="宋体" w:cs="宋体"/>
                <w:color w:val="000000"/>
                <w:spacing w:val="1"/>
                <w:szCs w:val="21"/>
                <w:highlight w:val="none"/>
                <w:lang w:val="en-US" w:eastAsia="zh-CN"/>
              </w:rPr>
              <w:t xml:space="preserve">4.3</w:t>
            </w:r>
            <w:r>
              <w:rPr>
                <w:rFonts w:hint="eastAsia" w:ascii="宋体" w:hAnsi="宋体" w:cs="宋体"/>
                <w:color w:val="000000"/>
                <w:spacing w:val="1"/>
                <w:szCs w:val="21"/>
                <w:highlight w:val="none"/>
              </w:rPr>
              <w:t xml:space="preserve">项目组成员</w:t>
            </w:r>
            <w:r>
              <w:rPr>
                <w:rFonts w:hint="eastAsia" w:ascii="宋体" w:hAnsi="宋体" w:cs="宋体"/>
                <w:color w:val="000000"/>
                <w:spacing w:val="1"/>
                <w:szCs w:val="21"/>
                <w:highlight w:val="none"/>
                <w:lang w:eastAsia="zh-CN"/>
              </w:rPr>
              <w:t xml:space="preserve">：（除项目负责人外）</w:t>
            </w:r>
            <w:r>
              <w:rPr>
                <w:rFonts w:hint="eastAsia" w:ascii="宋体" w:hAnsi="宋体" w:cs="宋体"/>
                <w:color w:val="000000"/>
                <w:spacing w:val="1"/>
                <w:szCs w:val="21"/>
                <w:highlight w:val="none"/>
                <w:lang w:eastAsia="zh-CN"/>
              </w:rPr>
            </w:r>
            <w:r/>
          </w:p>
          <w:p>
            <w:pPr>
              <w:pStyle w:val="971"/>
              <w:jc w:val="left"/>
              <w:keepNext/>
              <w:pageBreakBefore w:val="0"/>
              <w:spacing w:line="264" w:lineRule="auto"/>
              <w:rPr>
                <w:rFonts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lang w:val="en-US" w:eastAsia="zh-CN"/>
              </w:rPr>
              <w:t xml:space="preserve">1</w:t>
            </w:r>
            <w:r>
              <w:rPr>
                <w:rFonts w:hint="eastAsia" w:ascii="宋体" w:hAnsi="宋体" w:cs="宋体"/>
                <w:color w:val="000000"/>
                <w:spacing w:val="1"/>
                <w:szCs w:val="21"/>
                <w:highlight w:val="none"/>
                <w:lang w:eastAsia="zh-CN"/>
              </w:rPr>
              <w:t xml:space="preserve">）具有初级养老护理员证书，每提供一人得</w:t>
            </w:r>
            <w:r>
              <w:rPr>
                <w:rFonts w:hint="eastAsia" w:ascii="宋体" w:hAnsi="宋体" w:cs="宋体"/>
                <w:color w:val="000000"/>
                <w:spacing w:val="1"/>
                <w:szCs w:val="21"/>
                <w:highlight w:val="none"/>
                <w:lang w:val="en-US" w:eastAsia="zh-CN"/>
              </w:rPr>
              <w:t xml:space="preserve">2分，最高得16分。</w:t>
            </w:r>
            <w:r>
              <w:rPr>
                <w:rFonts w:ascii="宋体" w:hAnsi="宋体" w:cs="宋体"/>
                <w:color w:val="000000"/>
                <w:spacing w:val="1"/>
                <w:szCs w:val="21"/>
                <w:highlight w:val="none"/>
                <w:lang w:val="en-US" w:eastAsia="zh-CN"/>
              </w:rPr>
            </w:r>
            <w:r/>
          </w:p>
          <w:p>
            <w:pPr>
              <w:pStyle w:val="971"/>
              <w:jc w:val="left"/>
              <w:keepNext/>
              <w:pageBreakBefore w:val="0"/>
              <w:spacing w:line="264" w:lineRule="auto"/>
              <w:rPr>
                <w:rFonts w:hint="eastAsia" w:ascii="宋体" w:hAnsi="宋体" w:eastAsia="宋体" w:cs="宋体"/>
                <w:color w:val="000000"/>
                <w:spacing w:val="1"/>
                <w:szCs w:val="21"/>
                <w:highlight w:val="none"/>
                <w:lang w:eastAsia="zh-CN"/>
              </w:rPr>
            </w:pP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lang w:val="en-US" w:eastAsia="zh-CN"/>
              </w:rPr>
              <w:t xml:space="preserve">2</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具有中级及以上</w:t>
            </w:r>
            <w:r>
              <w:rPr>
                <w:rFonts w:hint="eastAsia" w:ascii="宋体" w:hAnsi="宋体" w:cs="宋体"/>
                <w:color w:val="000000"/>
                <w:spacing w:val="1"/>
                <w:szCs w:val="21"/>
                <w:highlight w:val="none"/>
                <w:lang w:eastAsia="zh-CN"/>
              </w:rPr>
              <w:t xml:space="preserve">养老</w:t>
            </w:r>
            <w:r>
              <w:rPr>
                <w:rFonts w:hint="eastAsia" w:ascii="宋体" w:hAnsi="宋体" w:cs="宋体"/>
                <w:color w:val="000000"/>
                <w:spacing w:val="1"/>
                <w:szCs w:val="21"/>
                <w:highlight w:val="none"/>
              </w:rPr>
              <w:t xml:space="preserve">护理员证书</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每提供一人得</w:t>
            </w:r>
            <w:r>
              <w:rPr>
                <w:rFonts w:hint="eastAsia" w:ascii="宋体" w:hAnsi="宋体" w:cs="宋体"/>
                <w:color w:val="000000"/>
                <w:spacing w:val="1"/>
                <w:szCs w:val="21"/>
                <w:highlight w:val="none"/>
                <w:lang w:val="en-US" w:eastAsia="zh-CN"/>
              </w:rPr>
              <w:t xml:space="preserve">2</w:t>
            </w:r>
            <w:r>
              <w:rPr>
                <w:rFonts w:hint="eastAsia" w:ascii="宋体" w:hAnsi="宋体" w:cs="宋体"/>
                <w:color w:val="000000"/>
                <w:spacing w:val="1"/>
                <w:szCs w:val="21"/>
                <w:highlight w:val="none"/>
              </w:rPr>
              <w:t xml:space="preserve">分，</w:t>
            </w:r>
            <w:r>
              <w:rPr>
                <w:rFonts w:hint="eastAsia" w:ascii="宋体" w:hAnsi="宋体" w:cs="宋体"/>
                <w:color w:val="000000"/>
                <w:spacing w:val="1"/>
                <w:szCs w:val="21"/>
                <w:highlight w:val="none"/>
                <w:lang w:eastAsia="zh-CN"/>
              </w:rPr>
              <w:t xml:space="preserve">最高</w:t>
            </w:r>
            <w:r>
              <w:rPr>
                <w:rFonts w:hint="eastAsia" w:ascii="宋体" w:hAnsi="宋体" w:cs="宋体"/>
                <w:color w:val="000000"/>
                <w:spacing w:val="1"/>
                <w:szCs w:val="21"/>
                <w:highlight w:val="none"/>
              </w:rPr>
              <w:t xml:space="preserve">得</w:t>
            </w:r>
            <w:r>
              <w:rPr>
                <w:rFonts w:hint="eastAsia" w:ascii="宋体" w:hAnsi="宋体" w:cs="宋体"/>
                <w:color w:val="000000"/>
                <w:spacing w:val="1"/>
                <w:szCs w:val="21"/>
                <w:highlight w:val="none"/>
                <w:lang w:val="en-US" w:eastAsia="zh-CN"/>
              </w:rPr>
              <w:t xml:space="preserve">2</w:t>
            </w:r>
            <w:r>
              <w:rPr>
                <w:rFonts w:hint="eastAsia" w:ascii="宋体" w:hAnsi="宋体" w:cs="宋体"/>
                <w:color w:val="000000"/>
                <w:spacing w:val="1"/>
                <w:szCs w:val="21"/>
                <w:highlight w:val="none"/>
              </w:rPr>
              <w:t xml:space="preserve">分</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rPr>
              <w:t xml:space="preserve">（以上</w:t>
            </w:r>
            <w:r>
              <w:rPr>
                <w:rFonts w:hint="eastAsia" w:ascii="宋体" w:hAnsi="宋体" w:cs="宋体"/>
                <w:color w:val="000000"/>
                <w:spacing w:val="1"/>
                <w:szCs w:val="21"/>
                <w:highlight w:val="none"/>
                <w:lang w:eastAsia="zh-CN"/>
              </w:rPr>
              <w:t xml:space="preserve">人员</w:t>
            </w:r>
            <w:r>
              <w:rPr>
                <w:rFonts w:hint="eastAsia" w:ascii="宋体" w:hAnsi="宋体" w:cs="宋体"/>
                <w:color w:val="000000"/>
                <w:spacing w:val="1"/>
                <w:szCs w:val="21"/>
                <w:highlight w:val="none"/>
              </w:rPr>
              <w:t xml:space="preserve">须提供相应的证明材料加盖供应商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公章以及劳动合同或供应商为其缴纳近</w:t>
            </w:r>
            <w:r>
              <w:rPr>
                <w:rFonts w:hint="eastAsia" w:ascii="宋体" w:hAnsi="宋体" w:cs="宋体"/>
                <w:color w:val="000000"/>
                <w:spacing w:val="1"/>
                <w:szCs w:val="21"/>
                <w:highlight w:val="none"/>
                <w:lang w:eastAsia="zh-CN"/>
              </w:rPr>
              <w:t xml:space="preserve">六</w:t>
            </w:r>
            <w:r>
              <w:rPr>
                <w:rFonts w:hint="eastAsia" w:ascii="宋体" w:hAnsi="宋体" w:cs="宋体"/>
                <w:color w:val="000000"/>
                <w:spacing w:val="1"/>
                <w:szCs w:val="21"/>
                <w:highlight w:val="none"/>
              </w:rPr>
              <w:t xml:space="preserve">个月</w:t>
            </w:r>
            <w:r>
              <w:rPr>
                <w:rFonts w:hint="eastAsia" w:ascii="宋体" w:hAnsi="宋体" w:cs="宋体"/>
                <w:color w:val="000000"/>
                <w:spacing w:val="1"/>
                <w:szCs w:val="21"/>
                <w:highlight w:val="none"/>
                <w:lang w:eastAsia="zh-CN"/>
              </w:rPr>
              <w:t xml:space="preserve">内任意一个月</w:t>
            </w:r>
            <w:r>
              <w:rPr>
                <w:rFonts w:hint="eastAsia" w:ascii="宋体" w:hAnsi="宋体" w:cs="宋体"/>
                <w:color w:val="000000"/>
                <w:spacing w:val="1"/>
                <w:szCs w:val="21"/>
                <w:highlight w:val="none"/>
              </w:rPr>
              <w:t xml:space="preserve">社保证明材料加盖供应商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w:t>
            </w:r>
            <w:r>
              <w:rPr>
                <w:rFonts w:hint="eastAsia" w:ascii="宋体" w:hAnsi="宋体" w:cs="宋体"/>
                <w:color w:val="000000"/>
                <w:spacing w:val="1"/>
                <w:szCs w:val="21"/>
                <w:highlight w:val="none"/>
                <w:lang w:eastAsia="zh-CN"/>
              </w:rPr>
              <w:t xml:space="preserve">）</w:t>
            </w:r>
            <w:r>
              <w:rPr>
                <w:rFonts w:hint="eastAsia" w:ascii="宋体" w:hAnsi="宋体" w:eastAsia="宋体" w:cs="宋体"/>
                <w:color w:val="000000"/>
                <w:spacing w:val="1"/>
                <w:szCs w:val="21"/>
                <w:highlight w:val="none"/>
                <w:lang w:eastAsia="zh-CN"/>
              </w:rPr>
            </w:r>
            <w:r/>
          </w:p>
        </w:tc>
        <w:tc>
          <w:tcPr>
            <w:tcW w:w="637" w:type="dxa"/>
            <w:vAlign w:val="center"/>
            <w:textDirection w:val="lrTb"/>
            <w:noWrap w:val="false"/>
          </w:tcPr>
          <w:p>
            <w:pPr>
              <w:pStyle w:val="971"/>
              <w:jc w:val="center"/>
              <w:keepNext/>
              <w:pageBreakBefore w:val="0"/>
              <w:spacing w:before="68" w:line="264"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18</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971"/>
              <w:ind w:right="89"/>
              <w:jc w:val="center"/>
              <w:keepNext/>
              <w:pageBreakBefore w:val="0"/>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rPr>
                <w:rFonts w:hint="eastAsia" w:ascii="宋体" w:hAnsi="宋体" w:cs="宋体"/>
                <w:color w:val="000000"/>
                <w:spacing w:val="-6"/>
                <w:szCs w:val="21"/>
                <w:highlight w:val="none"/>
              </w:rPr>
            </w:r>
            <w:r/>
          </w:p>
        </w:tc>
      </w:tr>
      <w:tr>
        <w:trPr>
          <w:trHeight w:val="440"/>
        </w:trPr>
        <w:tc>
          <w:tcPr>
            <w:gridSpan w:val="5"/>
            <w:tcW w:w="9612" w:type="dxa"/>
            <w:vAlign w:val="center"/>
            <w:textDirection w:val="lrTb"/>
            <w:noWrap w:val="false"/>
          </w:tcPr>
          <w:p>
            <w:pPr>
              <w:pStyle w:val="971"/>
              <w:jc w:val="left"/>
              <w:keepNext/>
              <w:pageBreakBefore w:val="0"/>
              <w:spacing w:line="264" w:lineRule="auto"/>
              <w:rPr>
                <w:rFonts w:ascii="宋体" w:hAnsi="宋体" w:eastAsia="宋体" w:cs="宋体"/>
                <w:color w:val="000000"/>
                <w:spacing w:val="1"/>
                <w:szCs w:val="21"/>
                <w:highlight w:val="none"/>
                <w:lang w:val="en-US" w:eastAsia="zh-CN"/>
              </w:rPr>
            </w:pPr>
            <w:r>
              <w:rPr>
                <w:rFonts w:hint="eastAsia" w:ascii="宋体" w:hAnsi="宋体" w:cs="宋体"/>
                <w:b/>
                <w:bCs/>
                <w:color w:val="000000"/>
                <w:spacing w:val="1"/>
                <w:szCs w:val="21"/>
                <w:highlight w:val="none"/>
              </w:rPr>
              <w:t xml:space="preserve">5.承诺</w:t>
            </w:r>
            <w:r>
              <w:rPr>
                <w:rFonts w:hint="eastAsia" w:ascii="宋体" w:hAnsi="宋体" w:cs="宋体"/>
                <w:b/>
                <w:bCs/>
                <w:color w:val="000000"/>
                <w:spacing w:val="1"/>
                <w:szCs w:val="21"/>
                <w:highlight w:val="none"/>
                <w:lang w:val="en-US" w:eastAsia="zh-CN"/>
              </w:rPr>
              <w:t xml:space="preserve">10分</w:t>
            </w:r>
            <w:r>
              <w:rPr>
                <w:rFonts w:ascii="宋体" w:hAnsi="宋体" w:eastAsia="宋体" w:cs="宋体"/>
                <w:color w:val="000000"/>
                <w:spacing w:val="1"/>
                <w:szCs w:val="21"/>
                <w:highlight w:val="none"/>
                <w:lang w:val="en-US" w:eastAsia="zh-CN"/>
              </w:rPr>
            </w:r>
            <w:r/>
          </w:p>
        </w:tc>
      </w:tr>
      <w:tr>
        <w:trPr>
          <w:trHeight w:val="760"/>
        </w:trPr>
        <w:tc>
          <w:tcPr>
            <w:tcW w:w="519" w:type="dxa"/>
            <w:vAlign w:val="center"/>
            <w:textDirection w:val="lrTb"/>
            <w:noWrap w:val="false"/>
          </w:tcPr>
          <w:p>
            <w:pPr>
              <w:pStyle w:val="971"/>
              <w:jc w:val="center"/>
              <w:keepNext/>
              <w:pageBreakBefore w:val="0"/>
              <w:spacing w:line="264" w:lineRule="auto"/>
              <w:rPr>
                <w:rFonts w:ascii="宋体" w:hAnsi="宋体" w:cs="宋体"/>
                <w:color w:val="000000"/>
                <w:spacing w:val="-3"/>
                <w:szCs w:val="21"/>
                <w:highlight w:val="none"/>
              </w:rPr>
            </w:pPr>
            <w:r>
              <w:rPr>
                <w:rFonts w:hint="eastAsia" w:ascii="宋体" w:hAnsi="宋体" w:cs="宋体"/>
                <w:color w:val="000000"/>
                <w:spacing w:val="-3"/>
                <w:szCs w:val="21"/>
                <w:highlight w:val="none"/>
              </w:rPr>
              <w:t xml:space="preserve">5</w:t>
            </w:r>
            <w:r>
              <w:rPr>
                <w:rFonts w:ascii="宋体" w:hAnsi="宋体" w:cs="宋体"/>
                <w:color w:val="000000"/>
                <w:spacing w:val="-3"/>
                <w:szCs w:val="21"/>
                <w:highlight w:val="none"/>
              </w:rPr>
            </w:r>
            <w:r/>
          </w:p>
        </w:tc>
        <w:tc>
          <w:tcPr>
            <w:tcW w:w="1179" w:type="dxa"/>
            <w:vAlign w:val="center"/>
            <w:textDirection w:val="lrTb"/>
            <w:noWrap w:val="false"/>
          </w:tcPr>
          <w:p>
            <w:pPr>
              <w:pStyle w:val="971"/>
              <w:jc w:val="center"/>
              <w:keepNext/>
              <w:pageBreakBefore w:val="0"/>
              <w:spacing w:line="264" w:lineRule="auto"/>
              <w:rPr>
                <w:rFonts w:hint="eastAsia"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val="en-US" w:eastAsia="zh-CN"/>
              </w:rPr>
              <w:t xml:space="preserve">承诺</w:t>
            </w:r>
            <w:r>
              <w:rPr>
                <w:rFonts w:hint="eastAsia" w:ascii="宋体" w:hAnsi="宋体" w:cs="宋体"/>
                <w:color w:val="000000"/>
                <w:spacing w:val="1"/>
                <w:szCs w:val="21"/>
                <w:highlight w:val="none"/>
                <w:lang w:val="en-US" w:eastAsia="zh-CN"/>
              </w:rPr>
            </w:r>
            <w:r/>
          </w:p>
        </w:tc>
        <w:tc>
          <w:tcPr>
            <w:tcW w:w="6425" w:type="dxa"/>
            <w:vAlign w:val="center"/>
            <w:textDirection w:val="lrTb"/>
            <w:noWrap w:val="false"/>
          </w:tcPr>
          <w:p>
            <w:pPr>
              <w:pStyle w:val="971"/>
              <w:jc w:val="left"/>
              <w:keepNext/>
              <w:pageBreakBefore w:val="0"/>
              <w:spacing w:line="264" w:lineRule="auto"/>
              <w:rPr>
                <w:rFonts w:hint="eastAsia"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val="en-US" w:eastAsia="zh-CN"/>
              </w:rPr>
              <w:t xml:space="preserve">为了更好、更便捷的提供后续服务要求供应商承诺成交后在所在社区或街道范围内成立办公室或者服务站点。每提供一个服务站点得2分，最高得10分。（需自行考虑各村、社区之间服务距离，按照实际情况作出承诺，投根据自己所投分包提供承诺，格式自拟）</w:t>
            </w:r>
            <w:r>
              <w:rPr>
                <w:rFonts w:hint="eastAsia" w:ascii="宋体" w:hAnsi="宋体" w:cs="宋体"/>
                <w:color w:val="000000"/>
                <w:spacing w:val="1"/>
                <w:szCs w:val="21"/>
                <w:highlight w:val="none"/>
                <w:lang w:val="en-US" w:eastAsia="zh-CN"/>
              </w:rPr>
            </w:r>
            <w:r/>
          </w:p>
          <w:p>
            <w:pPr>
              <w:pStyle w:val="971"/>
              <w:jc w:val="left"/>
              <w:keepNext/>
              <w:pageBreakBefore w:val="0"/>
              <w:spacing w:line="264" w:lineRule="auto"/>
              <w:rPr>
                <w:rFonts w:hint="eastAsia"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val="en-US" w:eastAsia="zh-CN"/>
              </w:rPr>
              <w:t xml:space="preserve">承诺</w:t>
            </w:r>
            <w:r>
              <w:rPr>
                <w:rFonts w:hint="eastAsia" w:ascii="宋体" w:hAnsi="宋体" w:cs="宋体"/>
                <w:color w:val="000000"/>
                <w:spacing w:val="1"/>
                <w:szCs w:val="21"/>
                <w:highlight w:val="none"/>
                <w:lang w:val="zh-CN" w:eastAsia="zh-CN"/>
              </w:rPr>
              <w:t xml:space="preserve">分包</w:t>
            </w:r>
            <w:r>
              <w:rPr>
                <w:rFonts w:hint="eastAsia" w:ascii="宋体" w:hAnsi="宋体" w:cs="宋体"/>
                <w:color w:val="000000"/>
                <w:spacing w:val="1"/>
                <w:szCs w:val="21"/>
                <w:highlight w:val="none"/>
                <w:lang w:val="en-US" w:eastAsia="zh-CN"/>
              </w:rPr>
              <w:t xml:space="preserve">1</w:t>
            </w:r>
            <w:r>
              <w:rPr>
                <w:rFonts w:hint="eastAsia" w:ascii="宋体" w:hAnsi="宋体" w:cs="宋体"/>
                <w:color w:val="000000"/>
                <w:spacing w:val="1"/>
                <w:szCs w:val="21"/>
                <w:highlight w:val="none"/>
                <w:lang w:val="zh-CN" w:eastAsia="zh-CN"/>
              </w:rPr>
              <w:t xml:space="preserve">东沟片</w:t>
            </w:r>
            <w:r>
              <w:rPr>
                <w:rFonts w:hint="eastAsia" w:ascii="宋体" w:hAnsi="宋体" w:cs="宋体"/>
                <w:color w:val="000000"/>
                <w:spacing w:val="1"/>
                <w:szCs w:val="21"/>
                <w:highlight w:val="none"/>
                <w:lang w:val="en-US" w:eastAsia="zh-CN"/>
              </w:rPr>
              <w:t xml:space="preserve">：东沟中心社区、平原村、孙赵村、大河口村、团结村；</w:t>
            </w:r>
            <w:r>
              <w:rPr>
                <w:rFonts w:hint="eastAsia" w:ascii="宋体" w:hAnsi="宋体" w:cs="宋体"/>
                <w:color w:val="000000"/>
                <w:spacing w:val="1"/>
                <w:szCs w:val="21"/>
                <w:highlight w:val="none"/>
                <w:lang w:val="en-US" w:eastAsia="zh-CN"/>
              </w:rPr>
            </w:r>
            <w:r/>
          </w:p>
          <w:p>
            <w:pPr>
              <w:pStyle w:val="971"/>
              <w:jc w:val="left"/>
              <w:keepNext/>
              <w:pageBreakBefore w:val="0"/>
              <w:spacing w:line="264" w:lineRule="auto"/>
              <w:rPr>
                <w:rFonts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val="en-US" w:eastAsia="zh-CN"/>
              </w:rPr>
              <w:t xml:space="preserve">承诺分包2龙袍片：新城社区、楼子社区、渔樵社区、新桥社区、长江社区、赵坝村；</w:t>
            </w:r>
            <w:r>
              <w:rPr>
                <w:rFonts w:ascii="宋体" w:hAnsi="宋体" w:cs="宋体"/>
                <w:color w:val="000000"/>
                <w:spacing w:val="1"/>
                <w:szCs w:val="21"/>
                <w:highlight w:val="none"/>
                <w:lang w:val="en-US" w:eastAsia="zh-CN"/>
              </w:rPr>
            </w:r>
            <w:r/>
          </w:p>
        </w:tc>
        <w:tc>
          <w:tcPr>
            <w:tcW w:w="637" w:type="dxa"/>
            <w:vAlign w:val="center"/>
            <w:textDirection w:val="lrTb"/>
            <w:noWrap w:val="false"/>
          </w:tcPr>
          <w:p>
            <w:pPr>
              <w:pStyle w:val="971"/>
              <w:jc w:val="center"/>
              <w:keepNext/>
              <w:pageBreakBefore w:val="0"/>
              <w:spacing w:before="68" w:line="264"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971"/>
              <w:ind w:right="89"/>
              <w:jc w:val="center"/>
              <w:keepNext/>
              <w:pageBreakBefore w:val="0"/>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971"/>
              <w:jc w:val="center"/>
              <w:keepNext/>
              <w:pageBreakBefore w:val="0"/>
              <w:spacing w:line="264" w:lineRule="auto"/>
              <w:rPr>
                <w:color w:val="000000"/>
                <w:szCs w:val="21"/>
                <w:highlight w:val="none"/>
              </w:rPr>
            </w:pPr>
            <w:r>
              <w:rPr>
                <w:rFonts w:ascii="宋体" w:hAnsi="宋体" w:cs="宋体"/>
                <w:color w:val="000000"/>
                <w:spacing w:val="-3"/>
                <w:szCs w:val="21"/>
                <w:highlight w:val="none"/>
              </w:rPr>
              <w:t xml:space="preserve">合</w:t>
            </w:r>
            <w:r>
              <w:rPr>
                <w:rFonts w:ascii="宋体" w:hAnsi="宋体" w:cs="宋体"/>
                <w:color w:val="000000"/>
                <w:spacing w:val="-2"/>
                <w:szCs w:val="21"/>
                <w:highlight w:val="none"/>
              </w:rPr>
              <w:t xml:space="preserve">计</w:t>
            </w:r>
            <w:r>
              <w:rPr>
                <w:color w:val="000000"/>
                <w:szCs w:val="21"/>
                <w:highlight w:val="none"/>
              </w:rPr>
            </w:r>
            <w:r/>
          </w:p>
        </w:tc>
        <w:tc>
          <w:tcPr>
            <w:gridSpan w:val="2"/>
            <w:tcW w:w="7604" w:type="dxa"/>
            <w:vAlign w:val="center"/>
            <w:textDirection w:val="lrTb"/>
            <w:noWrap w:val="false"/>
          </w:tcPr>
          <w:p>
            <w:pPr>
              <w:pStyle w:val="971"/>
              <w:ind w:left="172"/>
              <w:jc w:val="center"/>
              <w:keepNext/>
              <w:pageBreakBefore w:val="0"/>
              <w:spacing w:before="123" w:line="264" w:lineRule="auto"/>
              <w:rPr>
                <w:rFonts w:ascii="宋体" w:hAnsi="宋体" w:cs="宋体"/>
                <w:color w:val="000000"/>
                <w:spacing w:val="-2"/>
                <w:szCs w:val="21"/>
                <w:highlight w:val="none"/>
              </w:rPr>
            </w:pPr>
            <w:r>
              <w:rPr>
                <w:rFonts w:ascii="宋体" w:hAnsi="宋体" w:cs="宋体"/>
                <w:color w:val="000000"/>
                <w:spacing w:val="-2"/>
                <w:szCs w:val="21"/>
                <w:highlight w:val="none"/>
              </w:rPr>
            </w:r>
            <w:r/>
          </w:p>
        </w:tc>
        <w:tc>
          <w:tcPr>
            <w:gridSpan w:val="2"/>
            <w:tcW w:w="1489" w:type="dxa"/>
            <w:vAlign w:val="center"/>
            <w:textDirection w:val="lrTb"/>
            <w:noWrap w:val="false"/>
          </w:tcPr>
          <w:p>
            <w:pPr>
              <w:pStyle w:val="971"/>
              <w:jc w:val="center"/>
              <w:keepNext/>
              <w:pageBreakBefore w:val="0"/>
              <w:spacing w:line="264" w:lineRule="auto"/>
              <w:rPr>
                <w:color w:val="000000"/>
                <w:szCs w:val="21"/>
                <w:highlight w:val="none"/>
              </w:rPr>
            </w:pPr>
            <w:r>
              <w:rPr>
                <w:rFonts w:ascii="宋体" w:hAnsi="宋体" w:cs="宋体"/>
                <w:color w:val="000000"/>
                <w:spacing w:val="-11"/>
                <w:szCs w:val="21"/>
                <w:highlight w:val="none"/>
              </w:rPr>
              <w:t xml:space="preserve">100分</w:t>
            </w:r>
            <w:r>
              <w:rPr>
                <w:color w:val="000000"/>
                <w:szCs w:val="21"/>
                <w:highlight w:val="none"/>
              </w:rPr>
            </w:r>
            <w:r/>
          </w:p>
        </w:tc>
      </w:tr>
    </w:tbl>
    <w:p>
      <w:pPr>
        <w:pStyle w:val="971"/>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说明：</w:t>
      </w:r>
      <w:r>
        <w:rPr>
          <w:rFonts w:hint="eastAsia" w:ascii="宋体" w:hAnsi="宋体" w:cs="宋体"/>
          <w:b/>
          <w:bCs/>
          <w:color w:val="000000"/>
          <w:sz w:val="24"/>
          <w:szCs w:val="24"/>
          <w:highlight w:val="none"/>
          <w:lang w:val="en-US" w:eastAsia="zh-CN"/>
        </w:rPr>
      </w:r>
      <w:r/>
    </w:p>
    <w:p>
      <w:pPr>
        <w:pStyle w:val="971"/>
        <w:ind w:firstLine="442"/>
        <w:keepNext/>
        <w:pageBreakBefore w:val="0"/>
        <w:spacing w:line="240" w:lineRule="auto"/>
        <w:rPr>
          <w:rFonts w:hint="eastAsia" w:ascii="宋体" w:hAnsi="宋体" w:cs="宋体"/>
          <w:b/>
          <w:bCs/>
          <w:color w:val="000000"/>
          <w:sz w:val="24"/>
          <w:szCs w:val="24"/>
          <w:highlight w:val="none"/>
        </w:rPr>
      </w:pPr>
      <w:r>
        <w:rPr>
          <w:rFonts w:hint="eastAsia" w:ascii="宋体" w:hAnsi="宋体" w:cs="宋体"/>
          <w:b/>
          <w:bCs/>
          <w:color w:val="000000"/>
          <w:sz w:val="22"/>
          <w:szCs w:val="22"/>
          <w:highlight w:val="none"/>
          <w:lang w:val="en-US" w:eastAsia="zh-CN"/>
        </w:rPr>
        <w:t xml:space="preserve">（1）本项目2个分包评审方法一致，承诺书按照所投分包进行承诺即可。</w:t>
      </w:r>
      <w:r>
        <w:rPr>
          <w:rFonts w:hint="eastAsia" w:ascii="宋体" w:hAnsi="宋体" w:cs="宋体"/>
          <w:b/>
          <w:bCs/>
          <w:color w:val="000000"/>
          <w:sz w:val="24"/>
          <w:szCs w:val="24"/>
          <w:highlight w:val="none"/>
        </w:rPr>
      </w:r>
      <w:r/>
    </w:p>
    <w:p>
      <w:pPr>
        <w:pStyle w:val="971"/>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zh-CN" w:eastAsia="zh-CN"/>
        </w:rPr>
        <w:t xml:space="preserve">）本项目报价遵循苏财购〔2025〕62 号文件《关于推动解决政府采购异常低价问题相关工作的通知》要求执行，</w:t>
      </w:r>
      <w:r>
        <w:rPr>
          <w:rFonts w:hint="eastAsia" w:ascii="宋体" w:hAnsi="宋体" w:cs="宋体"/>
          <w:b/>
          <w:bCs/>
          <w:color w:val="000000"/>
          <w:sz w:val="22"/>
          <w:szCs w:val="22"/>
          <w:highlight w:val="none"/>
          <w:lang w:val="zh-CN" w:eastAsia="zh-CN"/>
        </w:rPr>
      </w:r>
      <w:r/>
    </w:p>
    <w:p>
      <w:pPr>
        <w:pStyle w:val="971"/>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（一）评审过程中出现下列情形之一的，评审委员会应当启动异常低价投标（响应）审查程序：</w:t>
      </w:r>
      <w:r>
        <w:rPr>
          <w:rFonts w:hint="eastAsia" w:ascii="宋体" w:hAnsi="宋体" w:cs="宋体"/>
          <w:b/>
          <w:bCs/>
          <w:color w:val="000000"/>
          <w:sz w:val="22"/>
          <w:szCs w:val="22"/>
          <w:highlight w:val="none"/>
          <w:lang w:val="zh-CN" w:eastAsia="zh-CN"/>
        </w:rPr>
      </w:r>
      <w:r/>
    </w:p>
    <w:p>
      <w:pPr>
        <w:pStyle w:val="971"/>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1．投标（响应）报价低于采购项目预算 50%的，即投标（响应）报价&lt;采购项目预算×50%；</w:t>
      </w:r>
      <w:r>
        <w:rPr>
          <w:rFonts w:hint="eastAsia" w:ascii="宋体" w:hAnsi="宋体" w:cs="宋体"/>
          <w:b/>
          <w:bCs/>
          <w:color w:val="000000"/>
          <w:sz w:val="22"/>
          <w:szCs w:val="22"/>
          <w:highlight w:val="none"/>
          <w:lang w:val="zh-CN" w:eastAsia="zh-CN"/>
        </w:rPr>
      </w:r>
      <w:r/>
    </w:p>
    <w:p>
      <w:pPr>
        <w:pStyle w:val="971"/>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2．投标（响应）报价低于采购项目最高限价 45%的，即投标（响应）报价&lt;采购项目最高限价×45%；</w:t>
      </w:r>
      <w:r>
        <w:rPr>
          <w:rFonts w:hint="eastAsia" w:ascii="宋体" w:hAnsi="宋体" w:cs="宋体"/>
          <w:b/>
          <w:bCs/>
          <w:color w:val="000000"/>
          <w:sz w:val="22"/>
          <w:szCs w:val="22"/>
          <w:highlight w:val="none"/>
          <w:lang w:val="zh-CN" w:eastAsia="zh-CN"/>
        </w:rPr>
      </w:r>
      <w:r/>
    </w:p>
    <w:p>
      <w:pPr>
        <w:pStyle w:val="971"/>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3．评审委员会认定的供应商报价过低、有可能影响产品质量或者不能诚信履约的其他情形。</w:t>
      </w:r>
      <w:r>
        <w:rPr>
          <w:rFonts w:hint="eastAsia" w:ascii="宋体" w:hAnsi="宋体" w:cs="宋体"/>
          <w:b/>
          <w:bCs/>
          <w:color w:val="000000"/>
          <w:sz w:val="22"/>
          <w:szCs w:val="22"/>
          <w:highlight w:val="none"/>
          <w:lang w:val="zh-CN" w:eastAsia="zh-CN"/>
        </w:rPr>
      </w:r>
      <w:r/>
    </w:p>
    <w:p>
      <w:pPr>
        <w:pStyle w:val="971"/>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color w:val="000000"/>
          <w:sz w:val="22"/>
          <w:szCs w:val="22"/>
          <w:highlight w:val="none"/>
          <w:lang w:val="zh-CN" w:eastAsia="zh-CN"/>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jc w:val="center"/>
        <w:keepNext/>
        <w:pageBreakBefore w:val="0"/>
        <w:rPr>
          <w:rFonts w:hint="eastAsia" w:ascii="黑体" w:hAnsi="Times New Roman" w:eastAsia="黑体"/>
          <w:bCs/>
          <w:color w:val="000000"/>
          <w:sz w:val="44"/>
          <w:szCs w:val="28"/>
          <w:highlight w:val="none"/>
        </w:rPr>
        <w:outlineLvl w:val="0"/>
      </w:pPr>
      <w:r>
        <w:rPr>
          <w:rFonts w:hint="eastAsia" w:ascii="黑体" w:hAnsi="Times New Roman" w:eastAsia="黑体"/>
          <w:color w:val="000000"/>
          <w:sz w:val="44"/>
          <w:szCs w:val="44"/>
          <w:highlight w:val="none"/>
        </w:rPr>
        <w:t xml:space="preserve">第六章  </w:t>
      </w:r>
      <w:bookmarkEnd w:id="127"/>
      <w:r/>
      <w:bookmarkEnd w:id="128"/>
      <w:r/>
      <w:bookmarkEnd w:id="130"/>
      <w:r>
        <w:rPr>
          <w:rFonts w:hint="eastAsia" w:ascii="黑体" w:hAnsi="Times New Roman" w:eastAsia="黑体"/>
          <w:color w:val="000000"/>
          <w:sz w:val="44"/>
          <w:szCs w:val="44"/>
          <w:highlight w:val="none"/>
        </w:rPr>
        <w:t xml:space="preserve">响应文件格式 </w:t>
      </w:r>
      <w:r>
        <w:rPr>
          <w:rFonts w:hint="eastAsia" w:ascii="黑体" w:hAnsi="Times New Roman" w:eastAsia="黑体"/>
          <w:bCs/>
          <w:color w:val="000000"/>
          <w:sz w:val="44"/>
          <w:szCs w:val="28"/>
          <w:highlight w:val="none"/>
        </w:rPr>
      </w:r>
      <w:r/>
    </w:p>
    <w:p>
      <w:pPr>
        <w:pStyle w:val="971"/>
        <w:jc w:val="center"/>
        <w:keepNext/>
        <w:pageBreakBefore w:val="0"/>
        <w:rPr>
          <w:rFonts w:hint="eastAsia" w:ascii="宋体" w:hAnsi="宋体"/>
          <w:b/>
          <w:color w:val="000000"/>
          <w:sz w:val="72"/>
          <w:szCs w:val="21"/>
          <w:highlight w:val="none"/>
        </w:rPr>
      </w:pPr>
      <w:r/>
      <w:bookmarkStart w:id="131" w:name="_Hlt26671244"/>
      <w:r/>
      <w:bookmarkEnd w:id="131"/>
      <w:r/>
      <w:bookmarkStart w:id="132" w:name="_Hlt26955039"/>
      <w:r/>
      <w:bookmarkEnd w:id="132"/>
      <w:r/>
      <w:bookmarkStart w:id="133" w:name="_Toc49090576"/>
      <w:r/>
      <w:bookmarkStart w:id="134" w:name="_Toc120614282"/>
      <w:r/>
      <w:bookmarkStart w:id="135" w:name="_Toc26554094"/>
      <w:r>
        <w:rPr>
          <w:rFonts w:hint="eastAsia" w:ascii="宋体" w:hAnsi="宋体"/>
          <w:b/>
          <w:color w:val="000000"/>
          <w:sz w:val="72"/>
          <w:szCs w:val="21"/>
          <w:highlight w:val="none"/>
        </w:rPr>
      </w:r>
      <w:r/>
    </w:p>
    <w:p>
      <w:pPr>
        <w:pStyle w:val="971"/>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71"/>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71"/>
        <w:jc w:val="center"/>
        <w:keepNext/>
        <w:pageBreakBefore w:val="0"/>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71"/>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71"/>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71"/>
        <w:jc w:val="center"/>
        <w:keepNext/>
        <w:pageBreakBefore w:val="0"/>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71"/>
        <w:ind w:firstLine="1084"/>
        <w:keepNext/>
        <w:pageBreakBefore w:val="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971"/>
        <w:ind w:firstLine="1084"/>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71"/>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971"/>
        <w:keepNext/>
        <w:pageBreakBefore w:val="0"/>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71"/>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1"/>
        <w:keepNext/>
        <w:pageBreakBefore w:val="0"/>
        <w:spacing w:line="440" w:lineRule="exact"/>
        <w:rPr>
          <w:rFonts w:ascii="宋体" w:hAnsi="宋体"/>
          <w:color w:val="000000"/>
          <w:szCs w:val="21"/>
          <w:highlight w:val="none"/>
        </w:rPr>
      </w:pPr>
      <w:r>
        <w:rPr>
          <w:rFonts w:ascii="宋体" w:hAnsi="宋体"/>
          <w:color w:val="000000"/>
          <w:szCs w:val="21"/>
          <w:highlight w:val="none"/>
        </w:rPr>
      </w:r>
      <w:r/>
    </w:p>
    <w:p>
      <w:pPr>
        <w:pStyle w:val="971"/>
        <w:jc w:val="center"/>
        <w:keepNext/>
        <w:pageBreakBefore w:val="0"/>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971"/>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w:t>
      </w:r>
      <w:r>
        <w:rPr>
          <w:rFonts w:hint="eastAsia" w:ascii="宋体" w:hAnsi="宋体" w:cs="宋体"/>
          <w:color w:val="000000"/>
          <w:sz w:val="28"/>
          <w:szCs w:val="28"/>
          <w:highlight w:val="none"/>
        </w:rPr>
        <w:t xml:space="preserve">（如有特定资格要求）</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四、磋商响应函</w:t>
      </w:r>
      <w:r>
        <w:rPr>
          <w:rFonts w:hint="eastAsia" w:ascii="宋体" w:hAnsi="宋体" w:cs="宋体"/>
          <w:color w:val="000000"/>
          <w:sz w:val="28"/>
          <w:szCs w:val="28"/>
          <w:highlight w:val="none"/>
        </w:rPr>
      </w:r>
      <w:r/>
    </w:p>
    <w:p>
      <w:pPr>
        <w:pStyle w:val="971"/>
        <w:ind w:firstLine="560"/>
        <w:keepNext/>
        <w:pageBreakBefore w:val="0"/>
        <w:spacing w:line="600" w:lineRule="exact"/>
        <w:rPr>
          <w:rFonts w:ascii="宋体" w:hAnsi="宋体" w:cs="宋体"/>
          <w:color w:val="000000"/>
          <w:sz w:val="28"/>
          <w:szCs w:val="28"/>
          <w:highlight w:val="none"/>
        </w:rPr>
      </w:pPr>
      <w:r>
        <w:rPr>
          <w:rFonts w:ascii="宋体" w:hAnsi="宋体" w:cs="宋体"/>
          <w:color w:val="000000"/>
          <w:sz w:val="28"/>
          <w:szCs w:val="28"/>
          <w:highlight w:val="none"/>
        </w:rPr>
        <w:t xml:space="preserve">五、</w:t>
      </w:r>
      <w:r>
        <w:rPr>
          <w:rFonts w:hint="eastAsia" w:ascii="宋体" w:hAnsi="宋体" w:cs="宋体"/>
          <w:color w:val="000000"/>
          <w:sz w:val="28"/>
          <w:szCs w:val="28"/>
          <w:highlight w:val="none"/>
        </w:rPr>
        <w:t xml:space="preserve">磋商报价表</w:t>
      </w:r>
      <w:r>
        <w:rPr>
          <w:rFonts w:ascii="宋体" w:hAnsi="宋体" w:cs="宋体"/>
          <w:color w:val="000000"/>
          <w:sz w:val="28"/>
          <w:szCs w:val="28"/>
          <w:highlight w:val="none"/>
        </w:rPr>
      </w:r>
      <w:r/>
    </w:p>
    <w:p>
      <w:pPr>
        <w:pStyle w:val="971"/>
        <w:ind w:firstLine="560"/>
        <w:keepNext/>
        <w:pageBreakBefore w:val="0"/>
        <w:spacing w:line="600" w:lineRule="exact"/>
        <w:rPr>
          <w:rFonts w:ascii="宋体" w:hAnsi="宋体"/>
          <w:color w:val="000000"/>
          <w:sz w:val="24"/>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、技术要求响应及偏离表</w:t>
      </w:r>
      <w:r>
        <w:rPr>
          <w:rFonts w:ascii="宋体" w:hAnsi="宋体"/>
          <w:color w:val="000000"/>
          <w:sz w:val="24"/>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971"/>
        <w:ind w:firstLine="560"/>
        <w:keepNext/>
        <w:pageBreakBefore w:val="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71"/>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71"/>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71"/>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71"/>
        <w:ind w:firstLine="480"/>
        <w:keepNext/>
        <w:pageBreakBefore w:val="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71"/>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rPr>
        <w:t xml:space="preserve">一、供应商信用承诺函</w:t>
      </w:r>
      <w:r>
        <w:rPr>
          <w:rFonts w:hint="eastAsia" w:ascii="黑体" w:hAnsi="黑体" w:eastAsia="黑体"/>
          <w:i/>
          <w:color w:val="000000"/>
          <w:sz w:val="32"/>
          <w:szCs w:val="32"/>
          <w:highlight w:val="none"/>
          <w:u w:val="singl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971"/>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南京名东工程项目管理有限公司：</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如果我公司成交，将在成交结果公示后七个工作日内向采购人提供下列材料核验：</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971"/>
        <w:ind w:firstLine="492"/>
        <w:keepNex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971"/>
        <w:ind w:firstLine="492"/>
        <w:keepNext/>
        <w:pageBreakBefore w:val="0"/>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971"/>
        <w:ind w:firstLine="492"/>
        <w:keepNext/>
        <w:pageBreakBefore w:val="0"/>
        <w:spacing w:line="460" w:lineRule="exact"/>
        <w:rPr>
          <w:color w:val="000000"/>
          <w:sz w:val="24"/>
          <w:szCs w:val="24"/>
          <w:highlight w:val="none"/>
        </w:rPr>
      </w:pPr>
      <w:r>
        <w:rPr>
          <w:color w:val="000000"/>
          <w:sz w:val="24"/>
          <w:szCs w:val="24"/>
          <w:highlight w:val="none"/>
        </w:rPr>
      </w:r>
      <w:r/>
    </w:p>
    <w:p>
      <w:pPr>
        <w:pStyle w:val="1084"/>
        <w:keepNext/>
        <w:pageBreakBefore w:val="0"/>
        <w:rPr>
          <w:color w:val="000000"/>
          <w:sz w:val="24"/>
          <w:szCs w:val="24"/>
          <w:highlight w:val="none"/>
        </w:rPr>
      </w:pPr>
      <w:r>
        <w:rPr>
          <w:color w:val="000000"/>
          <w:sz w:val="24"/>
          <w:szCs w:val="24"/>
          <w:highlight w:val="none"/>
        </w:rPr>
      </w:r>
      <w:r/>
    </w:p>
    <w:p>
      <w:pPr>
        <w:pStyle w:val="971"/>
        <w:ind w:right="180" w:firstLine="360"/>
        <w:jc w:val="right"/>
        <w:keepNext/>
        <w:pageBreakBefore w:val="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71"/>
        <w:ind w:firstLine="6240"/>
        <w:keepNext/>
        <w:pageBreakBefore w:val="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71"/>
        <w:keepNext/>
        <w:pageBreakBefore w:val="0"/>
        <w:rPr>
          <w:color w:val="000000"/>
          <w:sz w:val="24"/>
          <w:szCs w:val="24"/>
          <w:highlight w:val="none"/>
        </w:rPr>
      </w:pPr>
      <w:r>
        <w:rPr>
          <w:color w:val="000000"/>
          <w:sz w:val="24"/>
          <w:szCs w:val="24"/>
          <w:highlight w:val="none"/>
        </w:rPr>
      </w:r>
      <w:r/>
    </w:p>
    <w:p>
      <w:pPr>
        <w:pStyle w:val="971"/>
        <w:keepNex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ind w:firstLine="480"/>
        <w:keepNex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keepNext/>
        <w:pageBreakBefore w:val="0"/>
        <w:spacing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1094"/>
        <w:keepNext/>
        <w:pageBreakBefore w:val="0"/>
        <w:rPr>
          <w:rFonts w:hint="eastAsia"/>
          <w:color w:val="000000"/>
          <w:highlight w:val="none"/>
        </w:rPr>
      </w:pPr>
      <w:r>
        <w:rPr>
          <w:rFonts w:hint="eastAsia"/>
          <w:color w:val="000000"/>
          <w:highlight w:val="none"/>
        </w:rPr>
      </w:r>
      <w:r/>
    </w:p>
    <w:p>
      <w:pPr>
        <w:pStyle w:val="971"/>
        <w:keepNext/>
        <w:pageBreakBefore w:val="0"/>
        <w:rPr>
          <w:rFonts w:hint="eastAsia" w:ascii="黑体" w:hAnsi="黑体" w:eastAsia="黑体"/>
          <w:color w:val="000000"/>
          <w:sz w:val="32"/>
          <w:szCs w:val="32"/>
          <w:highlight w:val="none"/>
        </w:rPr>
      </w:pPr>
      <w:r/>
      <w:bookmarkEnd w:id="133"/>
      <w:r/>
      <w:bookmarkEnd w:id="134"/>
      <w:r/>
      <w:bookmarkEnd w:id="135"/>
      <w:r/>
      <w:bookmarkStart w:id="136" w:name="_Toc120614284"/>
      <w:r>
        <w:rPr>
          <w:rFonts w:hint="eastAsia" w:ascii="黑体" w:hAnsi="黑体" w:eastAsia="黑体"/>
          <w:color w:val="000000"/>
          <w:sz w:val="32"/>
          <w:szCs w:val="32"/>
          <w:highlight w:val="none"/>
        </w:rPr>
      </w:r>
      <w:r/>
    </w:p>
    <w:p>
      <w:pPr>
        <w:pStyle w:val="971"/>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71"/>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二、特定资格要求的证明文件</w:t>
      </w:r>
      <w:r>
        <w:rPr>
          <w:rFonts w:hint="eastAsia" w:ascii="黑体" w:hAnsi="黑体" w:eastAsia="黑体"/>
          <w:color w:val="000000"/>
          <w:sz w:val="32"/>
          <w:szCs w:val="32"/>
          <w:highlight w:val="none"/>
        </w:rPr>
      </w:r>
      <w:r/>
    </w:p>
    <w:p>
      <w:pPr>
        <w:pStyle w:val="971"/>
        <w:keepNext/>
        <w:pageBreakBefore w:val="0"/>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本项目申请人的特定资格要求中要求提供的材料。</w:t>
      </w:r>
      <w:r>
        <w:rPr>
          <w:rFonts w:hint="eastAsia" w:ascii="宋体" w:hAnsi="宋体"/>
          <w:bCs/>
          <w:color w:val="000000"/>
          <w:sz w:val="24"/>
          <w:szCs w:val="21"/>
          <w:highlight w:val="none"/>
        </w:rPr>
      </w:r>
      <w:r/>
    </w:p>
    <w:p>
      <w:pPr>
        <w:pStyle w:val="971"/>
        <w:keepNext/>
        <w:pageBreakBefore w:val="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71"/>
        <w:jc w:val="left"/>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71"/>
        <w:jc w:val="left"/>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71"/>
        <w:jc w:val="left"/>
        <w:keepNext/>
        <w:pageBreakBefore w:val="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71"/>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71"/>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71"/>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lang w:val="zh-CN"/>
        </w:rPr>
        <w:t xml:space="preserve">法人授权书</w:t>
      </w:r>
      <w:r>
        <w:rPr>
          <w:rFonts w:hint="eastAsia" w:ascii="方正小标宋简体" w:hAnsi="方正小标宋简体" w:eastAsia="方正小标宋简体" w:cs="方正小标宋简体"/>
          <w:color w:val="000000"/>
          <w:sz w:val="32"/>
          <w:szCs w:val="32"/>
          <w:highlight w:val="none"/>
          <w:lang w:val="zh-CN"/>
        </w:rPr>
      </w:r>
      <w:r/>
    </w:p>
    <w:p>
      <w:pPr>
        <w:pStyle w:val="1097"/>
        <w:ind w:firstLine="480"/>
        <w:keepNext/>
        <w:pageBreakBefore w:val="0"/>
        <w:spacing w:line="48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（被授权人的姓名）作为我方就编号为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097"/>
        <w:ind w:firstLine="480"/>
        <w:keepNext/>
        <w:pageBreakBefore w:val="0"/>
        <w:spacing w:line="48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097"/>
        <w:ind w:firstLine="0"/>
        <w:keepNext/>
        <w:pageBreakBefore w:val="0"/>
        <w:spacing w:line="480" w:lineRule="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1097"/>
        <w:ind w:firstLine="480"/>
        <w:keepNext/>
        <w:pageBreakBefore w:val="0"/>
        <w:spacing w:line="480" w:lineRule="auto"/>
        <w:tabs>
          <w:tab w:val="left" w:pos="360" w:leader="none"/>
        </w:tabs>
        <w:rPr>
          <w:rFonts w:hint="eastAsia" w:ascii="宋体" w:hAnsi="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cs="宋体"/>
          <w:color w:val="000000"/>
          <w:sz w:val="24"/>
          <w:szCs w:val="24"/>
          <w:highlight w:val="none"/>
          <w:u w:val="single"/>
        </w:rPr>
      </w:r>
      <w:r/>
    </w:p>
    <w:p>
      <w:pPr>
        <w:pStyle w:val="1097"/>
        <w:ind w:firstLine="480"/>
        <w:keepNext/>
        <w:pageBreakBefore w:val="0"/>
        <w:spacing w:line="480" w:lineRule="auto"/>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1097"/>
        <w:ind w:firstLine="480"/>
        <w:keepNext/>
        <w:pageBreakBefore w:val="0"/>
        <w:spacing w:line="480" w:lineRule="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97"/>
        <w:ind w:firstLine="480"/>
        <w:keepNext/>
        <w:pageBreakBefore w:val="0"/>
        <w:spacing w:line="480" w:lineRule="auto"/>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137" w:name="_Hlt26955070"/>
      <w:r/>
      <w:bookmarkEnd w:id="137"/>
      <w:r/>
      <w:bookmarkStart w:id="138" w:name="_Hlt26671380"/>
      <w:r/>
      <w:bookmarkEnd w:id="138"/>
      <w:r/>
      <w:bookmarkStart w:id="139" w:name="_格式3__银行出具的资信证明"/>
      <w:r/>
      <w:bookmarkEnd w:id="139"/>
      <w:r>
        <w:rPr>
          <w:rFonts w:hint="eastAsia"/>
          <w:color w:val="000000"/>
          <w:sz w:val="24"/>
          <w:szCs w:val="24"/>
          <w:highlight w:val="non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ind w:firstLine="480"/>
        <w:keepNext/>
        <w:pageBreakBefore w:val="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71"/>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四、磋商响应函</w:t>
      </w:r>
      <w:r>
        <w:rPr>
          <w:rFonts w:hint="eastAsia" w:ascii="黑体" w:hAnsi="黑体" w:eastAsia="黑体"/>
          <w:color w:val="000000"/>
          <w:sz w:val="32"/>
          <w:szCs w:val="32"/>
          <w:highlight w:val="non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71"/>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致：南京名东工程项目管理有限公司</w:t>
      </w:r>
      <w:r>
        <w:rPr>
          <w:rFonts w:hint="eastAsia" w:ascii="宋体" w:hAnsi="宋体"/>
          <w:color w:val="000000"/>
          <w:sz w:val="24"/>
          <w:szCs w:val="21"/>
          <w:highlight w:val="none"/>
        </w:rPr>
      </w:r>
      <w:r/>
    </w:p>
    <w:p>
      <w:pPr>
        <w:pStyle w:val="110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磋商文件，我方正式提</w:t>
      </w:r>
      <w:r>
        <w:rPr>
          <w:rFonts w:hint="eastAsia" w:ascii="宋体" w:hAnsi="宋体" w:cs="宋体"/>
          <w:color w:val="000000"/>
          <w:highlight w:val="none"/>
        </w:rPr>
        <w:t xml:space="preserve">交磋商响应函，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1.按磋商文件规定的各项要求，向买方提供所需服务（包含与服务相关的货物）。</w:t>
      </w:r>
      <w:r>
        <w:rPr>
          <w:rFonts w:hint="eastAsia" w:ascii="宋体" w:hAnsi="宋体"/>
          <w:color w:val="000000"/>
          <w:sz w:val="24"/>
          <w:szCs w:val="21"/>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4.我们同意从规定的磋商日期起遵循本响应文件，并在规定的磋商有效期期满之前均具有约束力。</w:t>
      </w:r>
      <w:r>
        <w:rPr>
          <w:rFonts w:hint="eastAsia" w:ascii="宋体" w:hAnsi="宋体"/>
          <w:color w:val="000000"/>
          <w:sz w:val="24"/>
          <w:szCs w:val="21"/>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971"/>
        <w:ind w:firstLine="480"/>
        <w:jc w:val="left"/>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1"/>
        <w:ind w:firstLine="480"/>
        <w:jc w:val="left"/>
        <w:keepNext/>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8.我方与本磋商有关的正式通讯地址为：</w:t>
      </w:r>
      <w:r>
        <w:rPr>
          <w:rFonts w:hint="eastAsia" w:ascii="宋体" w:hAnsi="宋体"/>
          <w:color w:val="000000"/>
          <w:sz w:val="24"/>
          <w:szCs w:val="21"/>
          <w:highlight w:val="none"/>
        </w:rPr>
      </w:r>
      <w:r/>
    </w:p>
    <w:p>
      <w:pPr>
        <w:pStyle w:val="110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10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10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110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110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1103"/>
        <w:keepNext/>
        <w:pageBreakBefore w:val="0"/>
        <w:spacing w:before="0" w:after="0"/>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971"/>
        <w:ind w:right="180"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1103"/>
        <w:keepNext/>
        <w:pageBreakBefore w:val="0"/>
        <w:spacing w:before="0" w:after="0"/>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71"/>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71"/>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71"/>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71"/>
        <w:keepNext/>
        <w:pageBreakBefore w:val="0"/>
        <w:rPr>
          <w:rFonts w:hint="eastAsia" w:ascii="宋体" w:hAnsi="宋体"/>
          <w:color w:val="000000"/>
          <w:szCs w:val="21"/>
          <w:highlight w:val="none"/>
        </w:rPr>
      </w:pPr>
      <w:r>
        <w:rPr>
          <w:rFonts w:hint="eastAsia" w:ascii="宋体" w:hAnsi="宋体"/>
          <w:color w:val="000000"/>
          <w:szCs w:val="21"/>
          <w:highlight w:val="none"/>
        </w:rPr>
      </w:r>
      <w:r/>
    </w:p>
    <w:p>
      <w:pPr>
        <w:pStyle w:val="971"/>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71"/>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五、磋商报价表</w:t>
      </w:r>
      <w:r>
        <w:rPr>
          <w:rFonts w:hint="eastAsia" w:ascii="黑体" w:hAnsi="黑体" w:eastAsia="黑体"/>
          <w:color w:val="000000"/>
          <w:sz w:val="32"/>
          <w:szCs w:val="32"/>
          <w:highlight w:val="none"/>
        </w:rPr>
      </w:r>
      <w:r/>
    </w:p>
    <w:p>
      <w:pPr>
        <w:pStyle w:val="971"/>
        <w:jc w:val="center"/>
        <w:keepNext/>
        <w:pageBreakBefore w:val="0"/>
        <w:spacing w:line="48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磋商报价表</w:t>
      </w:r>
      <w:r>
        <w:rPr>
          <w:rFonts w:hint="eastAsia" w:ascii="方正小标宋简体" w:hAnsi="方正小标宋简体" w:eastAsia="方正小标宋简体" w:cs="方正小标宋简体"/>
          <w:color w:val="000000"/>
          <w:sz w:val="32"/>
          <w:szCs w:val="32"/>
          <w:highlight w:val="none"/>
        </w:rPr>
      </w:r>
      <w:r/>
    </w:p>
    <w:p>
      <w:pPr>
        <w:pStyle w:val="971"/>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 </w:t>
      </w:r>
      <w:r>
        <w:rPr>
          <w:rFonts w:hint="eastAsia" w:ascii="宋体" w:hAnsi="宋体"/>
          <w:color w:val="000000"/>
          <w:sz w:val="24"/>
          <w:szCs w:val="24"/>
          <w:highlight w:val="none"/>
        </w:rPr>
      </w:r>
      <w:r/>
    </w:p>
    <w:p>
      <w:pPr>
        <w:pStyle w:val="971"/>
        <w:keepNext/>
        <w:pageBreakBefore w:val="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rPr>
      </w:r>
      <w:r/>
    </w:p>
    <w:p>
      <w:pPr>
        <w:pStyle w:val="971"/>
        <w:keepNext/>
        <w:pageBreakBefore w:val="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71"/>
              <w:jc w:val="center"/>
              <w:keepNext/>
              <w:pageBreakBefore w:val="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103"/>
              <w:ind w:firstLine="0"/>
              <w:keepNext/>
              <w:pageBreakBefore w:val="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71"/>
        <w:keepNext/>
        <w:pageBreakBefore w:val="0"/>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971"/>
        <w:ind w:firstLine="480"/>
        <w:keepNext/>
        <w:pageBreakBefore w:val="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971"/>
        <w:ind w:firstLine="480"/>
        <w:keepNext/>
        <w:pageBreakBefore w:val="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4"/>
        <w:keepNext/>
        <w:pageBreakBefore w:val="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71"/>
        <w:keepNext/>
        <w:pageBreakBefore w:val="0"/>
        <w:rPr>
          <w:rFonts w:hint="eastAsia"/>
          <w:color w:val="000000"/>
          <w:highlight w:val="none"/>
        </w:rPr>
      </w:pPr>
      <w:r>
        <w:rPr>
          <w:rFonts w:hint="eastAsia"/>
          <w:color w:val="000000"/>
          <w:highlight w:val="none"/>
        </w:rPr>
      </w:r>
      <w:r/>
    </w:p>
    <w:p>
      <w:pPr>
        <w:pStyle w:val="971"/>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71"/>
        <w:keepNext/>
        <w:pageBreakBefore w:val="0"/>
        <w:spacing w:line="360" w:lineRule="auto"/>
        <w:rPr>
          <w:rFonts w:ascii="宋体" w:hAnsi="宋体"/>
          <w:color w:val="000000"/>
          <w:sz w:val="24"/>
          <w:highlight w:val="none"/>
        </w:rPr>
      </w:pPr>
      <w:r>
        <w:rPr>
          <w:rFonts w:ascii="宋体" w:hAnsi="宋体"/>
          <w:color w:val="000000"/>
          <w:sz w:val="24"/>
          <w:highlight w:val="none"/>
        </w:rPr>
      </w:r>
      <w:r/>
    </w:p>
    <w:p>
      <w:pPr>
        <w:pStyle w:val="1037"/>
        <w:jc w:val="both"/>
        <w:keepNext/>
        <w:pageBreakBefore w:val="0"/>
        <w:spacing w:before="0" w:beforeAutospacing="0" w:after="0" w:afterAutospacing="0" w:line="360" w:lineRule="auto"/>
        <w:rPr>
          <w:rFonts w:hint="eastAsia" w:ascii="黑体" w:hAnsi="黑体" w:eastAsia="黑体" w:cs="Times New Roman"/>
          <w:iCs/>
          <w:color w:val="000000"/>
          <w:sz w:val="32"/>
          <w:szCs w:val="32"/>
          <w:highlight w:val="none"/>
        </w:rPr>
      </w:pPr>
      <w:r>
        <w:rPr>
          <w:rFonts w:hint="eastAsia" w:ascii="黑体" w:hAnsi="黑体" w:eastAsia="黑体" w:cs="Times New Roman"/>
          <w:i/>
          <w:color w:val="000000"/>
          <w:sz w:val="32"/>
          <w:szCs w:val="32"/>
          <w:highlight w:val="none"/>
          <w:u w:val="single"/>
        </w:rPr>
        <w:br w:type="page" w:clear="all"/>
      </w:r>
      <w:bookmarkEnd w:id="125"/>
      <w:r/>
      <w:bookmarkEnd w:id="126"/>
      <w:r/>
      <w:bookmarkEnd w:id="136"/>
      <w:r>
        <w:rPr>
          <w:rFonts w:hint="eastAsia" w:ascii="黑体" w:hAnsi="黑体" w:eastAsia="黑体" w:cs="Times New Roman"/>
          <w:color w:val="000000"/>
          <w:sz w:val="32"/>
          <w:szCs w:val="32"/>
          <w:highlight w:val="none"/>
          <w:lang w:eastAsia="zh-CN"/>
        </w:rPr>
        <w:t xml:space="preserve">六</w:t>
      </w:r>
      <w:r>
        <w:rPr>
          <w:rFonts w:hint="eastAsia" w:ascii="黑体" w:hAnsi="黑体" w:eastAsia="黑体" w:cs="Times New Roman"/>
          <w:color w:val="000000"/>
          <w:sz w:val="32"/>
          <w:szCs w:val="32"/>
          <w:highlight w:val="none"/>
        </w:rPr>
        <w:t xml:space="preserve">、</w:t>
      </w:r>
      <w:r>
        <w:rPr>
          <w:rFonts w:hint="eastAsia" w:ascii="黑体" w:hAnsi="黑体" w:eastAsia="黑体" w:cs="Times New Roman"/>
          <w:iCs/>
          <w:color w:val="000000"/>
          <w:sz w:val="32"/>
          <w:szCs w:val="32"/>
          <w:highlight w:val="none"/>
        </w:rPr>
        <w:t xml:space="preserve">技术要求响应及偏离表</w:t>
      </w:r>
      <w:r>
        <w:rPr>
          <w:rFonts w:hint="eastAsia" w:ascii="黑体" w:hAnsi="黑体" w:eastAsia="黑体" w:cs="Times New Roman"/>
          <w:iCs/>
          <w:color w:val="000000"/>
          <w:sz w:val="32"/>
          <w:szCs w:val="32"/>
          <w:highlight w:val="non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37"/>
        <w:jc w:val="both"/>
        <w:keepNext/>
        <w:pageBreakBefore w:val="0"/>
        <w:spacing w:before="0" w:beforeAutospacing="0" w:after="0" w:afterAutospacing="0"/>
        <w:rPr>
          <w:color w:val="000000"/>
          <w:highlight w:val="none"/>
        </w:rPr>
      </w:pPr>
      <w:r>
        <w:rPr>
          <w:color w:val="000000"/>
          <w:highlight w:val="none"/>
        </w:rPr>
      </w:r>
      <w:r/>
    </w:p>
    <w:p>
      <w:pPr>
        <w:pStyle w:val="971"/>
        <w:ind w:right="180"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71"/>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7"/>
        <w:ind w:firstLine="480"/>
        <w:jc w:val="both"/>
        <w:keepNext/>
        <w:pageBreakBefore w:val="0"/>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037"/>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1.供应商须对磋商文件技术要求中的实质性要求（斜体下划线内容或打“★”内容）及其他要求做出明确响应，否则视为无效响应。</w:t>
      </w:r>
      <w:r>
        <w:rPr>
          <w:rFonts w:hint="eastAsia"/>
          <w:color w:val="000000"/>
          <w:highlight w:val="none"/>
        </w:rPr>
      </w:r>
      <w:r/>
    </w:p>
    <w:p>
      <w:pPr>
        <w:pStyle w:val="1037"/>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971"/>
        <w:jc w:val="center"/>
        <w:keepNext/>
        <w:pageBreakBefore w:val="0"/>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971"/>
        <w:keepNext/>
        <w:pageBreakBefore w:val="0"/>
        <w:rPr>
          <w:rFonts w:hint="eastAsia" w:ascii="黑体" w:hAnsi="黑体" w:eastAsia="黑体"/>
          <w:iCs/>
          <w:color w:val="000000"/>
          <w:sz w:val="32"/>
          <w:szCs w:val="32"/>
          <w:highlight w:val="none"/>
        </w:rPr>
      </w:pPr>
      <w:r/>
      <w:bookmarkStart w:id="140" w:name="_Hlt26955054"/>
      <w:r/>
      <w:bookmarkEnd w:id="140"/>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eastAsia="zh-CN"/>
        </w:rPr>
        <w:t xml:space="preserve">七</w:t>
      </w:r>
      <w:r>
        <w:rPr>
          <w:rFonts w:hint="eastAsia" w:ascii="黑体" w:hAnsi="黑体" w:eastAsia="黑体"/>
          <w:iCs/>
          <w:color w:val="000000"/>
          <w:sz w:val="32"/>
          <w:szCs w:val="32"/>
          <w:highlight w:val="none"/>
        </w:rPr>
        <w:t xml:space="preserve">、商务要求响应及偏离表</w:t>
      </w:r>
      <w:r>
        <w:rPr>
          <w:rFonts w:hint="eastAsia" w:ascii="黑体" w:hAnsi="黑体" w:eastAsia="黑体"/>
          <w:iCs/>
          <w:color w:val="000000"/>
          <w:sz w:val="32"/>
          <w:szCs w:val="32"/>
          <w:highlight w:val="none"/>
        </w:rPr>
      </w:r>
      <w:r/>
    </w:p>
    <w:p>
      <w:pPr>
        <w:pStyle w:val="971"/>
        <w:jc w:val="center"/>
        <w:keepNext/>
        <w:pageBreakBefore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71"/>
              <w:jc w:val="center"/>
              <w:keepNext/>
              <w:pageBreakBefore w:val="0"/>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71"/>
              <w:jc w:val="center"/>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37"/>
        <w:jc w:val="both"/>
        <w:keepNext/>
        <w:pageBreakBefore w:val="0"/>
        <w:spacing w:before="0" w:beforeAutospacing="0" w:after="0" w:afterAutospacing="0"/>
        <w:rPr>
          <w:color w:val="000000"/>
          <w:highlight w:val="none"/>
        </w:rPr>
      </w:pPr>
      <w:r>
        <w:rPr>
          <w:color w:val="000000"/>
          <w:highlight w:val="none"/>
        </w:rPr>
      </w:r>
      <w:r/>
    </w:p>
    <w:p>
      <w:pPr>
        <w:pStyle w:val="971"/>
        <w:ind w:right="180"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71"/>
        <w:ind w:firstLine="480"/>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7"/>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1037"/>
        <w:ind w:firstLine="480"/>
        <w:jc w:val="both"/>
        <w:keepNext/>
        <w:pageBreakBefore w:val="0"/>
        <w:spacing w:before="0" w:beforeAutospacing="0" w:after="0" w:afterAutospacing="0" w:line="360" w:lineRule="auto"/>
        <w:rPr>
          <w:color w:val="000000"/>
          <w:highlight w:val="none"/>
        </w:rPr>
      </w:pPr>
      <w:r>
        <w:rPr>
          <w:rFonts w:hint="eastAsia"/>
          <w:color w:val="000000"/>
          <w:highlight w:val="none"/>
        </w:rPr>
        <w:t xml:space="preserve">1.供应商须对磋商文件商务要求中的实质性要求（斜体下划线内容或打“★”内容）做出明确响应，否则视为无效响应。</w:t>
      </w:r>
      <w:r>
        <w:rPr>
          <w:color w:val="000000"/>
          <w:highlight w:val="none"/>
        </w:rPr>
      </w:r>
      <w:r/>
    </w:p>
    <w:p>
      <w:pPr>
        <w:pStyle w:val="1037"/>
        <w:ind w:firstLine="480"/>
        <w:jc w:val="both"/>
        <w:keepNext/>
        <w:pageBreakBefore w:val="0"/>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971"/>
        <w:keepNext/>
        <w:pageBreakBefore w:val="0"/>
        <w:rPr>
          <w:color w:val="000000"/>
          <w:highlight w:val="none"/>
        </w:rPr>
      </w:pPr>
      <w:r>
        <w:rPr>
          <w:color w:val="000000"/>
          <w:highlight w:val="none"/>
        </w:rPr>
      </w:r>
      <w:r/>
    </w:p>
    <w:p>
      <w:pPr>
        <w:pStyle w:val="971"/>
        <w:jc w:val="center"/>
        <w:keepNext/>
        <w:pageBreakBefore w:val="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94"/>
        <w:keepNext/>
        <w:pageBreakBefore w:val="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71"/>
        <w:keepNext/>
        <w:pageBreakBefore w:val="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971"/>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eastAsia="zh-CN"/>
        </w:rPr>
        <w:t xml:space="preserve">八</w:t>
      </w:r>
      <w:r>
        <w:rPr>
          <w:rFonts w:hint="eastAsia" w:ascii="黑体" w:hAnsi="黑体" w:eastAsia="黑体"/>
          <w:iCs/>
          <w:color w:val="000000"/>
          <w:sz w:val="32"/>
          <w:szCs w:val="32"/>
          <w:highlight w:val="none"/>
        </w:rPr>
        <w:t xml:space="preserve">、中小企业声明函</w:t>
      </w:r>
      <w:r>
        <w:rPr>
          <w:rFonts w:hint="eastAsia" w:ascii="黑体" w:hAnsi="黑体" w:eastAsia="黑体"/>
          <w:iCs/>
          <w:color w:val="000000"/>
          <w:sz w:val="32"/>
          <w:szCs w:val="32"/>
          <w:highlight w:val="non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971"/>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971"/>
        <w:ind w:firstLine="480"/>
        <w:keepNext/>
        <w:pageBreakBefore w:val="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971"/>
        <w:ind w:firstLine="36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94"/>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keepNext/>
        <w:pageBreakBefore w:val="0"/>
        <w:spacing w:line="360" w:lineRule="auto"/>
        <w:rPr>
          <w:rFonts w:hint="eastAsia"/>
          <w:color w:val="000000"/>
          <w:highlight w:val="none"/>
        </w:rPr>
      </w:pPr>
      <w:r>
        <w:rPr>
          <w:rFonts w:hint="eastAsia"/>
          <w:color w:val="000000"/>
          <w:highlight w:val="none"/>
        </w:rPr>
      </w:r>
      <w:r/>
    </w:p>
    <w:p>
      <w:pPr>
        <w:pStyle w:val="971"/>
        <w:ind w:right="180" w:firstLine="360"/>
        <w:jc w:val="center"/>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971"/>
        <w:ind w:firstLine="6000"/>
        <w:keepNext/>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71"/>
        <w:ind w:firstLine="480"/>
        <w:keepNext/>
        <w:pageBreakBefore w:val="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highlight w:val="none"/>
        </w:rPr>
      </w:r>
      <w:r/>
    </w:p>
    <w:p>
      <w:pPr>
        <w:pStyle w:val="971"/>
        <w:jc w:val="left"/>
        <w:keepNext/>
        <w:pageBreakBefore w:val="0"/>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lang w:eastAsia="zh-CN"/>
        </w:rPr>
        <w:t xml:space="preserve">九</w:t>
      </w:r>
      <w:r>
        <w:rPr>
          <w:rFonts w:hint="eastAsia" w:ascii="黑体" w:hAnsi="黑体" w:eastAsia="黑体"/>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971"/>
        <w:ind w:firstLine="480"/>
        <w:keepNext/>
        <w:pageBreakBefore w:val="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1094"/>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keepNext/>
        <w:pageBreakBefore w:val="0"/>
        <w:spacing w:line="360" w:lineRule="auto"/>
        <w:rPr>
          <w:rFonts w:hint="eastAsia"/>
          <w:color w:val="000000"/>
          <w:highlight w:val="none"/>
        </w:rPr>
      </w:pPr>
      <w:r>
        <w:rPr>
          <w:rFonts w:hint="eastAsia"/>
          <w:color w:val="000000"/>
          <w:highlight w:val="none"/>
        </w:rPr>
      </w:r>
      <w:r/>
    </w:p>
    <w:p>
      <w:pPr>
        <w:pStyle w:val="971"/>
        <w:ind w:right="180" w:firstLine="360"/>
        <w:jc w:val="center"/>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971"/>
        <w:ind w:firstLine="6000"/>
        <w:keepNext/>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1.供应商如不提供此声明函，价格将不做相应扣除。</w:t>
      </w:r>
      <w:r>
        <w:rPr>
          <w:rFonts w:hint="eastAsia" w:ascii="宋体" w:hAnsi="宋体"/>
          <w:color w:val="000000"/>
          <w:sz w:val="24"/>
          <w:highlight w:val="none"/>
        </w:rPr>
      </w:r>
      <w:r/>
    </w:p>
    <w:p>
      <w:pPr>
        <w:pStyle w:val="97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2.成交供应商为残疾人福利性单位的，此声明函将随成交结果同时公告，接受社会监督。</w:t>
      </w:r>
      <w:r>
        <w:rPr>
          <w:rFonts w:ascii="宋体" w:hAnsi="宋体"/>
          <w:color w:val="000000"/>
          <w:sz w:val="24"/>
          <w:highlight w:val="none"/>
        </w:rPr>
      </w:r>
      <w:r/>
    </w:p>
    <w:p>
      <w:pPr>
        <w:pStyle w:val="971"/>
        <w:ind w:firstLine="480"/>
        <w:keepNext/>
        <w:pageBreakBefore w:val="0"/>
        <w:spacing w:line="480" w:lineRule="exact"/>
        <w:rPr>
          <w:rFonts w:ascii="宋体" w:hAnsi="宋体"/>
          <w:color w:val="000000"/>
          <w:sz w:val="24"/>
          <w:highlight w:val="none"/>
        </w:rPr>
      </w:pPr>
      <w:r>
        <w:rPr>
          <w:rFonts w:ascii="宋体" w:hAnsi="宋体"/>
          <w:color w:val="000000"/>
          <w:sz w:val="24"/>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center"/>
        <w:keepNext/>
        <w:pageBreakBefore w:val="0"/>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1"/>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71"/>
        <w:jc w:val="left"/>
        <w:keepNext/>
        <w:pageBreakBefore w:val="0"/>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971"/>
        <w:jc w:val="center"/>
        <w:keepNext/>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97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971"/>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971"/>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.若我们联合成交，</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971"/>
        <w:ind w:firstLine="480"/>
        <w:keepNext/>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71"/>
        <w:ind w:firstLine="645"/>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1"/>
        <w:ind w:firstLine="645"/>
        <w:keepNext/>
        <w:pageBreakBefore w:val="0"/>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71"/>
        <w:ind w:firstLine="645"/>
        <w:jc w:val="righ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71"/>
        <w:ind w:firstLine="5280"/>
        <w:keepNext/>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971"/>
        <w:ind w:firstLine="480"/>
        <w:keepNex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1"/>
        <w:ind w:firstLine="480"/>
        <w:keepNext/>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3.除另有说明外，本磋商文件要求加盖电子公章之处，加盖牵头单位的电子公章即可。</w:t>
      </w:r>
      <w:r>
        <w:rPr>
          <w:rFonts w:hint="eastAsia" w:ascii="宋体" w:hAnsi="宋体"/>
          <w:color w:val="000000"/>
          <w:sz w:val="24"/>
          <w:highlight w:val="none"/>
        </w:rPr>
      </w:r>
      <w:r/>
    </w:p>
    <w:p>
      <w:pPr>
        <w:pStyle w:val="1043"/>
        <w:ind w:firstLine="480"/>
        <w:keepNext/>
        <w:pageBreakBefore w:val="0"/>
        <w:rPr>
          <w:rFonts w:hint="eastAsia"/>
          <w:color w:val="000000"/>
          <w:sz w:val="24"/>
          <w:highlight w:val="none"/>
        </w:rPr>
      </w:pPr>
      <w:r>
        <w:rPr>
          <w:rFonts w:hint="eastAsia"/>
          <w:color w:val="000000"/>
          <w:sz w:val="24"/>
          <w:highlight w:val="none"/>
        </w:rPr>
      </w:r>
      <w:r/>
    </w:p>
    <w:p>
      <w:pPr>
        <w:pStyle w:val="971"/>
        <w:keepNext/>
        <w:pageBreakBefore w:val="0"/>
        <w:rPr>
          <w:rFonts w:hint="eastAsia"/>
          <w:color w:val="000000"/>
          <w:highlight w:val="none"/>
        </w:rPr>
      </w:pPr>
      <w:r>
        <w:rPr>
          <w:rFonts w:hint="eastAsia"/>
          <w:color w:val="000000"/>
          <w:highlight w:val="none"/>
        </w:rPr>
      </w:r>
      <w:r/>
    </w:p>
    <w:p>
      <w:pPr>
        <w:pStyle w:val="971"/>
        <w:ind w:firstLine="645"/>
        <w:keepNext/>
        <w:pageBreakBefore w:val="0"/>
        <w:spacing w:line="560" w:lineRule="exact"/>
        <w:rPr>
          <w:rFonts w:ascii="宋体" w:hAnsi="宋体"/>
          <w:color w:val="000000"/>
          <w:sz w:val="24"/>
          <w:highlight w:val="none"/>
        </w:rPr>
      </w:pPr>
      <w:r>
        <w:rPr>
          <w:rFonts w:ascii="宋体" w:hAnsi="宋体"/>
          <w:color w:val="000000"/>
          <w:sz w:val="24"/>
          <w:highlight w:val="none"/>
        </w:rPr>
      </w:r>
      <w:r/>
    </w:p>
    <w:p>
      <w:pPr>
        <w:pStyle w:val="971"/>
        <w:ind w:firstLine="645"/>
        <w:keepNext/>
        <w:pageBreakBefore w:val="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71"/>
        <w:jc w:val="left"/>
        <w:keepNext/>
        <w:pageBreakBefore w:val="0"/>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附件十</w:t>
      </w:r>
      <w:r>
        <w:rPr>
          <w:rFonts w:hint="eastAsia" w:ascii="黑体" w:hAnsi="黑体" w:eastAsia="黑体"/>
          <w:iCs/>
          <w:color w:val="000000"/>
          <w:sz w:val="32"/>
          <w:szCs w:val="32"/>
          <w:highlight w:val="none"/>
          <w:lang w:eastAsia="zh-CN"/>
        </w:rPr>
        <w:t xml:space="preserve">一</w:t>
      </w:r>
      <w:r>
        <w:rPr>
          <w:rFonts w:hint="eastAsia" w:ascii="黑体" w:hAnsi="黑体" w:eastAsia="黑体"/>
          <w:iCs/>
          <w:color w:val="000000"/>
          <w:sz w:val="32"/>
          <w:szCs w:val="32"/>
          <w:highlight w:val="none"/>
        </w:rPr>
        <w:t xml:space="preserve">、南京市政府采购供应商信用记录表暨信用承诺书（网站在线打印盖章上传）</w:t>
      </w:r>
      <w:r>
        <w:rPr>
          <w:rFonts w:hint="eastAsia" w:ascii="黑体" w:hAnsi="黑体" w:eastAsia="黑体"/>
          <w:iCs/>
          <w:color w:val="000000"/>
          <w:sz w:val="32"/>
          <w:szCs w:val="32"/>
          <w:highlight w:val="none"/>
        </w:rPr>
      </w:r>
      <w:r/>
    </w:p>
    <w:p>
      <w:pPr>
        <w:pStyle w:val="971"/>
        <w:keepNext/>
        <w:pageBreakBefore w:val="0"/>
        <w:rPr>
          <w:rFonts w:hint="eastAsia" w:ascii="宋体" w:hAnsi="宋体"/>
          <w:color w:val="000000"/>
          <w:sz w:val="24"/>
          <w:highlight w:val="none"/>
        </w:rPr>
      </w:pPr>
      <w:r>
        <w:rPr>
          <w:rFonts w:hint="eastAsia" w:ascii="宋体" w:hAnsi="宋体"/>
          <w:color w:val="000000"/>
          <w:sz w:val="24"/>
          <w:highlight w:val="none"/>
        </w:rPr>
      </w:r>
      <w:r/>
    </w:p>
    <w:p>
      <w:pPr>
        <w:pStyle w:val="1094"/>
        <w:keepNext/>
        <w:pageBreakBefore w:val="0"/>
        <w:rPr>
          <w:rFonts w:hint="eastAsia"/>
          <w:color w:val="000000"/>
          <w:highlight w:val="none"/>
        </w:rPr>
      </w:pPr>
      <w:r>
        <w:rPr>
          <w:rFonts w:hint="eastAsia"/>
          <w:color w:val="000000"/>
          <w:highlight w:val="none"/>
        </w:rPr>
      </w:r>
      <w:r/>
    </w:p>
    <w:p>
      <w:pPr>
        <w:pStyle w:val="971"/>
        <w:jc w:val="center"/>
        <w:keepNext/>
        <w:pageBreakBefore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971"/>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1"/>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71"/>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1"/>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71"/>
        <w:keepNext/>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71"/>
        <w:keepNext/>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1"/>
        <w:keepNext/>
        <w:pageBreakBefore w:val="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keepNext/>
        <w:pageBreakBefore w:val="0"/>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971"/>
        <w:keepNext/>
        <w:pageBreakBefore w:val="0"/>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971"/>
        <w:ind w:firstLine="480"/>
        <w:keepNext/>
        <w:pageBreakBefore w:val="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71"/>
        <w:ind w:firstLine="480"/>
        <w:keepNext/>
        <w:pageBreakBefore w:val="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71"/>
        <w:ind w:firstLine="480"/>
        <w:keepNext/>
        <w:pageBreakBefore w:val="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rPr>
          <w:rFonts w:hint="eastAsia" w:ascii="宋体" w:hAnsi="宋体" w:cs="仿宋"/>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971"/>
        <w:ind w:firstLine="480"/>
        <w:keepNext/>
        <w:pageBreakBefore w:val="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Fonts w:hint="eastAsia"/>
                            </w:rPr>
                          </w:pPr>
                          <w:r>
                            <w:rPr>
                              <w:rFonts w:hint="eastAsia"/>
                            </w:rPr>
                          </w:r>
                          <w:r/>
                        </w:p>
                        <w:p>
                          <w:pPr>
                            <w:pStyle w:val="9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Fonts w:hint="eastAsia"/>
                      </w:rPr>
                    </w:pPr>
                    <w:r>
                      <w:rPr>
                        <w:rFonts w:hint="eastAsia"/>
                      </w:rPr>
                    </w:r>
                    <w:r/>
                  </w:p>
                  <w:p>
                    <w:pPr>
                      <w:pStyle w:val="9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- 41 -</w:t>
                          </w:r>
                          <w:r>
                            <w:rPr>
                              <w:rFonts w:hint="eastAsia"/>
                            </w:rPr>
                            <w:fldChar w:fldCharType="end"/>
                          </w:r>
                          <w:r>
                            <w:rPr>
                              <w:rFonts w:hint="eastAsia"/>
                            </w:rPr>
                          </w:r>
                          <w:r/>
                        </w:p>
                        <w:p>
                          <w:pPr>
                            <w:pStyle w:val="97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- 41 -</w:t>
                    </w:r>
                    <w:r>
                      <w:rPr>
                        <w:rFonts w:hint="eastAsia"/>
                      </w:rPr>
                      <w:fldChar w:fldCharType="end"/>
                    </w:r>
                    <w:r>
                      <w:rPr>
                        <w:rFonts w:hint="eastAsia"/>
                      </w:rPr>
                    </w:r>
                    <w:r/>
                  </w:p>
                  <w:p>
                    <w:pPr>
                      <w:pStyle w:val="97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Fonts w:hint="eastAsia"/>
                            </w:rPr>
                          </w:pPr>
                          <w:r>
                            <w:rPr>
                              <w:rFonts w:hint="eastAsia"/>
                            </w:rPr>
                          </w:r>
                          <w:r/>
                        </w:p>
                        <w:p>
                          <w:pPr>
                            <w:pStyle w:val="97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Fonts w:hint="eastAsia"/>
                      </w:rPr>
                    </w:pPr>
                    <w:r>
                      <w:rPr>
                        <w:rFonts w:hint="eastAsia"/>
                      </w:rPr>
                    </w:r>
                    <w:r/>
                  </w:p>
                  <w:p>
                    <w:pPr>
                      <w:pStyle w:val="9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rPr>
                              <w:rFonts w:hint="eastAsia"/>
                            </w:rPr>
                          </w:r>
                          <w:r/>
                        </w:p>
                        <w:p>
                          <w:pPr>
                            <w:pStyle w:val="97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rPr>
                        <w:rFonts w:hint="eastAsia"/>
                      </w:rPr>
                    </w:r>
                    <w:r/>
                  </w:p>
                  <w:p>
                    <w:pPr>
                      <w:pStyle w:val="9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1">
    <w:multiLevelType w:val="hybridMultilevel"/>
    <w:lvl w:ilvl="0">
      <w:start w:val="1"/>
      <w:numFmt w:val="upperLetter"/>
      <w:pStyle w:val="1066"/>
      <w:isLgl w:val="false"/>
      <w:suff w:val="tab"/>
      <w:lvlText w:val="附录%1."/>
      <w:lvlJc w:val="left"/>
      <w:pPr>
        <w:pStyle w:val="9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2"/>
      <w:isLgl w:val="false"/>
      <w:suff w:val="tab"/>
      <w:lvlText w:val="%1."/>
      <w:lvlJc w:val="left"/>
      <w:pPr>
        <w:pStyle w:val="971"/>
        <w:ind w:left="709" w:hanging="709"/>
        <w:tabs>
          <w:tab w:val="num" w:pos="709" w:leader="none"/>
        </w:tabs>
      </w:pPr>
      <w:rPr>
        <w:rFonts w:hint="eastAsia"/>
      </w:rPr>
    </w:lvl>
    <w:lvl w:ilvl="1">
      <w:start w:val="1"/>
      <w:numFmt w:val="decimal"/>
      <w:isLgl w:val="false"/>
      <w:suff w:val="tab"/>
      <w:lvlText w:val="%1.%2"/>
      <w:lvlJc w:val="left"/>
      <w:pPr>
        <w:pStyle w:val="971"/>
        <w:ind w:left="709" w:hanging="709"/>
        <w:tabs>
          <w:tab w:val="num" w:pos="709" w:leader="none"/>
        </w:tabs>
      </w:pPr>
      <w:rPr>
        <w:rFonts w:hint="eastAsia"/>
      </w:rPr>
    </w:lvl>
    <w:lvl w:ilvl="2">
      <w:start w:val="1"/>
      <w:numFmt w:val="decimal"/>
      <w:isLgl w:val="false"/>
      <w:suff w:val="tab"/>
      <w:lvlText w:val="%1.%2.%3."/>
      <w:lvlJc w:val="left"/>
      <w:pPr>
        <w:pStyle w:val="971"/>
        <w:ind w:left="425" w:hanging="425"/>
        <w:tabs>
          <w:tab w:val="num" w:pos="425" w:leader="none"/>
        </w:tabs>
      </w:pPr>
      <w:rPr>
        <w:rFonts w:hint="eastAsia"/>
      </w:rPr>
    </w:lvl>
    <w:lvl w:ilvl="3">
      <w:start w:val="1"/>
      <w:numFmt w:val="decimal"/>
      <w:isLgl w:val="false"/>
      <w:suff w:val="tab"/>
      <w:lvlText w:val="%1.%2.%3.%4."/>
      <w:lvlJc w:val="left"/>
      <w:pPr>
        <w:pStyle w:val="971"/>
        <w:ind w:left="851" w:hanging="851"/>
        <w:tabs>
          <w:tab w:val="num" w:pos="851" w:leader="none"/>
        </w:tabs>
      </w:pPr>
      <w:rPr>
        <w:rFonts w:hint="eastAsia"/>
      </w:rPr>
    </w:lvl>
    <w:lvl w:ilvl="4">
      <w:start w:val="1"/>
      <w:numFmt w:val="decimal"/>
      <w:isLgl w:val="false"/>
      <w:suff w:val="tab"/>
      <w:lvlText w:val="%1.%2.%3.%4.%5."/>
      <w:lvlJc w:val="left"/>
      <w:pPr>
        <w:pStyle w:val="971"/>
        <w:ind w:left="992" w:hanging="992"/>
        <w:tabs>
          <w:tab w:val="num" w:pos="992" w:leader="none"/>
        </w:tabs>
      </w:pPr>
      <w:rPr>
        <w:rFonts w:hint="eastAsia"/>
      </w:rPr>
    </w:lvl>
    <w:lvl w:ilvl="5">
      <w:start w:val="1"/>
      <w:numFmt w:val="decimal"/>
      <w:isLgl w:val="false"/>
      <w:suff w:val="tab"/>
      <w:lvlText w:val="%1.%2.%3.%4.%5.%6."/>
      <w:lvlJc w:val="left"/>
      <w:pPr>
        <w:pStyle w:val="971"/>
        <w:ind w:left="1134" w:hanging="1134"/>
        <w:tabs>
          <w:tab w:val="num" w:pos="1134" w:leader="none"/>
        </w:tabs>
      </w:pPr>
      <w:rPr>
        <w:rFonts w:hint="eastAsia"/>
      </w:rPr>
    </w:lvl>
    <w:lvl w:ilvl="6">
      <w:start w:val="1"/>
      <w:numFmt w:val="decimal"/>
      <w:isLgl w:val="false"/>
      <w:suff w:val="tab"/>
      <w:lvlText w:val="%1.%2.%3.%4.%5.%6.%7."/>
      <w:lvlJc w:val="left"/>
      <w:pPr>
        <w:pStyle w:val="971"/>
        <w:ind w:left="1276" w:hanging="1276"/>
        <w:tabs>
          <w:tab w:val="num" w:pos="1276" w:leader="none"/>
        </w:tabs>
      </w:pPr>
      <w:rPr>
        <w:rFonts w:hint="eastAsia"/>
      </w:rPr>
    </w:lvl>
    <w:lvl w:ilvl="7">
      <w:start w:val="1"/>
      <w:numFmt w:val="decimal"/>
      <w:isLgl w:val="false"/>
      <w:suff w:val="tab"/>
      <w:lvlText w:val="%1.%2.%3.%4.%5.%6.%7.%8."/>
      <w:lvlJc w:val="left"/>
      <w:pPr>
        <w:pStyle w:val="971"/>
        <w:ind w:left="1418" w:hanging="1418"/>
        <w:tabs>
          <w:tab w:val="num" w:pos="1418" w:leader="none"/>
        </w:tabs>
      </w:pPr>
      <w:rPr>
        <w:rFonts w:hint="eastAsia"/>
      </w:rPr>
    </w:lvl>
    <w:lvl w:ilvl="8">
      <w:start w:val="1"/>
      <w:numFmt w:val="decimal"/>
      <w:isLgl w:val="false"/>
      <w:suff w:val="tab"/>
      <w:lvlText w:val="%1.%2.%3.%4.%5.%6.%7.%8.%9."/>
      <w:lvlJc w:val="left"/>
      <w:pPr>
        <w:pStyle w:val="971"/>
        <w:ind w:left="1559" w:hanging="1559"/>
        <w:tabs>
          <w:tab w:val="num" w:pos="1559" w:leader="none"/>
        </w:tabs>
      </w:pPr>
      <w:rPr>
        <w:rFonts w:hint="eastAsia"/>
      </w:rPr>
    </w:lvl>
  </w:abstractNum>
  <w:abstractNum w:abstractNumId="3">
    <w:multiLevelType w:val="hybridMultilevel"/>
    <w:lvl w:ilvl="0">
      <w:start w:val="5"/>
      <w:numFmt w:val="chineseCounting"/>
      <w:isLgl w:val="false"/>
      <w:suff w:val="nothing"/>
      <w:lvlText w:val="%1、"/>
      <w:lvlJc w:val="left"/>
      <w:pPr>
        <w:pStyle w:val="9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71"/>
        <w:ind w:left="0" w:firstLine="0"/>
      </w:pPr>
      <w:rPr>
        <w:rFonts w:hint="eastAsia"/>
      </w:rPr>
    </w:lvl>
    <w:lvl w:ilvl="1">
      <w:start w:val="1"/>
      <w:numFmt w:val="decimal"/>
      <w:isLgl w:val="false"/>
      <w:suff w:val="nothing"/>
      <w:lvlText w:val="%2、"/>
      <w:lvlJc w:val="left"/>
      <w:pPr>
        <w:pStyle w:val="971"/>
        <w:ind w:left="0" w:firstLine="0"/>
      </w:pPr>
      <w:rPr>
        <w:rFonts w:hint="eastAsia"/>
      </w:rPr>
    </w:lvl>
    <w:lvl w:ilvl="2">
      <w:start w:val="1"/>
      <w:numFmt w:val="decimal"/>
      <w:isLgl w:val="false"/>
      <w:suff w:val="nothing"/>
      <w:lvlText w:val="%2.%3 "/>
      <w:lvlJc w:val="left"/>
      <w:pPr>
        <w:pStyle w:val="971"/>
        <w:ind w:left="0" w:firstLine="0"/>
      </w:pPr>
      <w:rPr>
        <w:rFonts w:hint="eastAsia"/>
      </w:rPr>
    </w:lvl>
    <w:lvl w:ilvl="3">
      <w:start w:val="1"/>
      <w:numFmt w:val="decimal"/>
      <w:isLgl w:val="false"/>
      <w:suff w:val="nothing"/>
      <w:lvlText w:val="%2.%3.%4 "/>
      <w:lvlJc w:val="left"/>
      <w:pPr>
        <w:pStyle w:val="971"/>
        <w:ind w:left="0" w:firstLine="0"/>
      </w:pPr>
      <w:rPr>
        <w:rFonts w:hint="eastAsia"/>
      </w:rPr>
    </w:lvl>
    <w:lvl w:ilvl="4">
      <w:start w:val="1"/>
      <w:numFmt w:val="decimal"/>
      <w:isLgl w:val="false"/>
      <w:suff w:val="nothing"/>
      <w:lvlText w:val="%2.%3.%4.%5 "/>
      <w:lvlJc w:val="left"/>
      <w:pPr>
        <w:pStyle w:val="971"/>
        <w:ind w:left="0" w:firstLine="0"/>
      </w:pPr>
      <w:rPr>
        <w:rFonts w:hint="eastAsia"/>
      </w:rPr>
    </w:lvl>
    <w:lvl w:ilvl="5">
      <w:start w:val="1"/>
      <w:numFmt w:val="decimal"/>
      <w:pStyle w:val="977"/>
      <w:isLgl w:val="false"/>
      <w:suff w:val="nothing"/>
      <w:lvlText w:val=""/>
      <w:lvlJc w:val="left"/>
      <w:pPr>
        <w:pStyle w:val="971"/>
        <w:ind w:left="0" w:firstLine="0"/>
      </w:pPr>
      <w:rPr>
        <w:rFonts w:hint="eastAsia"/>
      </w:rPr>
    </w:lvl>
    <w:lvl w:ilvl="6">
      <w:start w:val="1"/>
      <w:numFmt w:val="decimal"/>
      <w:pStyle w:val="978"/>
      <w:isLgl w:val="false"/>
      <w:suff w:val="nothing"/>
      <w:lvlText w:val=""/>
      <w:lvlJc w:val="left"/>
      <w:pPr>
        <w:pStyle w:val="971"/>
        <w:ind w:left="0" w:firstLine="0"/>
      </w:pPr>
      <w:rPr>
        <w:rFonts w:hint="eastAsia"/>
      </w:rPr>
    </w:lvl>
    <w:lvl w:ilvl="7">
      <w:start w:val="1"/>
      <w:numFmt w:val="decimal"/>
      <w:pStyle w:val="979"/>
      <w:isLgl w:val="false"/>
      <w:suff w:val="nothing"/>
      <w:lvlText w:val=""/>
      <w:lvlJc w:val="left"/>
      <w:pPr>
        <w:pStyle w:val="971"/>
        <w:ind w:left="0" w:firstLine="0"/>
      </w:pPr>
      <w:rPr>
        <w:rFonts w:hint="eastAsia"/>
      </w:rPr>
    </w:lvl>
    <w:lvl w:ilvl="8">
      <w:start w:val="1"/>
      <w:numFmt w:val="decimal"/>
      <w:pStyle w:val="980"/>
      <w:isLgl w:val="false"/>
      <w:suff w:val="nothing"/>
      <w:lvlText w:val=""/>
      <w:lvlJc w:val="left"/>
      <w:pPr>
        <w:pStyle w:val="971"/>
        <w:ind w:left="0" w:firstLine="0"/>
      </w:pPr>
      <w:rPr>
        <w:rFonts w:hint="eastAsia"/>
      </w:rPr>
    </w:lvl>
  </w:abstractNum>
  <w:abstractNum w:abstractNumId="5">
    <w:multiLevelType w:val="hybridMultilevel"/>
    <w:lvl w:ilvl="0">
      <w:start w:val="1"/>
      <w:numFmt w:val="japaneseCounting"/>
      <w:isLgl w:val="false"/>
      <w:suff w:val="tab"/>
      <w:lvlText w:val="第%1条"/>
      <w:lvlJc w:val="left"/>
      <w:pPr>
        <w:pStyle w:val="971"/>
        <w:ind w:left="1536" w:hanging="975"/>
      </w:pPr>
    </w:lvl>
    <w:lvl w:ilvl="1">
      <w:start w:val="1"/>
      <w:numFmt w:val="lowerLetter"/>
      <w:isLgl w:val="false"/>
      <w:suff w:val="tab"/>
      <w:lvlText w:val="%2)"/>
      <w:lvlJc w:val="left"/>
      <w:pPr>
        <w:pStyle w:val="971"/>
        <w:ind w:left="1401" w:hanging="420"/>
      </w:pPr>
    </w:lvl>
    <w:lvl w:ilvl="2">
      <w:start w:val="1"/>
      <w:numFmt w:val="lowerRoman"/>
      <w:isLgl w:val="false"/>
      <w:suff w:val="tab"/>
      <w:lvlText w:val="%3."/>
      <w:lvlJc w:val="right"/>
      <w:pPr>
        <w:pStyle w:val="971"/>
        <w:ind w:left="1821" w:hanging="420"/>
      </w:pPr>
    </w:lvl>
    <w:lvl w:ilvl="3">
      <w:start w:val="1"/>
      <w:numFmt w:val="decimal"/>
      <w:isLgl w:val="false"/>
      <w:suff w:val="tab"/>
      <w:lvlText w:val="%4."/>
      <w:lvlJc w:val="left"/>
      <w:pPr>
        <w:pStyle w:val="971"/>
        <w:ind w:left="2241" w:hanging="420"/>
      </w:pPr>
    </w:lvl>
    <w:lvl w:ilvl="4">
      <w:start w:val="1"/>
      <w:numFmt w:val="lowerLetter"/>
      <w:isLgl w:val="false"/>
      <w:suff w:val="tab"/>
      <w:lvlText w:val="%5)"/>
      <w:lvlJc w:val="left"/>
      <w:pPr>
        <w:pStyle w:val="971"/>
        <w:ind w:left="2661" w:hanging="420"/>
      </w:pPr>
    </w:lvl>
    <w:lvl w:ilvl="5">
      <w:start w:val="1"/>
      <w:numFmt w:val="lowerRoman"/>
      <w:isLgl w:val="false"/>
      <w:suff w:val="tab"/>
      <w:lvlText w:val="%6."/>
      <w:lvlJc w:val="right"/>
      <w:pPr>
        <w:pStyle w:val="971"/>
        <w:ind w:left="3081" w:hanging="420"/>
      </w:pPr>
    </w:lvl>
    <w:lvl w:ilvl="6">
      <w:start w:val="1"/>
      <w:numFmt w:val="decimal"/>
      <w:isLgl w:val="false"/>
      <w:suff w:val="tab"/>
      <w:lvlText w:val="%7."/>
      <w:lvlJc w:val="left"/>
      <w:pPr>
        <w:pStyle w:val="971"/>
        <w:ind w:left="3501" w:hanging="420"/>
      </w:pPr>
    </w:lvl>
    <w:lvl w:ilvl="7">
      <w:start w:val="1"/>
      <w:numFmt w:val="lowerLetter"/>
      <w:isLgl w:val="false"/>
      <w:suff w:val="tab"/>
      <w:lvlText w:val="%8)"/>
      <w:lvlJc w:val="left"/>
      <w:pPr>
        <w:pStyle w:val="971"/>
        <w:ind w:left="3921" w:hanging="420"/>
      </w:pPr>
    </w:lvl>
    <w:lvl w:ilvl="8">
      <w:start w:val="1"/>
      <w:numFmt w:val="lowerRoman"/>
      <w:isLgl w:val="false"/>
      <w:suff w:val="tab"/>
      <w:lvlText w:val="%9."/>
      <w:lvlJc w:val="right"/>
      <w:pPr>
        <w:pStyle w:val="971"/>
        <w:ind w:left="4341" w:hanging="42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83"/>
    <w:link w:val="971"/>
    <w:qFormat/>
    <w:pPr>
      <w:jc w:val="both"/>
      <w:widowControl w:val="off"/>
    </w:pPr>
    <w:rPr>
      <w:sz w:val="21"/>
      <w:szCs w:val="22"/>
      <w:lang w:val="en-US" w:eastAsia="zh-CN" w:bidi="ar-SA"/>
    </w:rPr>
  </w:style>
  <w:style w:type="paragraph" w:styleId="972">
    <w:name w:val="标题 1"/>
    <w:basedOn w:val="971"/>
    <w:next w:val="971"/>
    <w:link w:val="985"/>
    <w:qFormat/>
    <w:pPr>
      <w:jc w:val="center"/>
      <w:keepNext/>
      <w:outlineLvl w:val="0"/>
    </w:pPr>
    <w:rPr>
      <w:rFonts w:ascii="楷体_GB2312" w:hAnsi="Times New Roman" w:eastAsia="楷体_GB2312" w:cs="Times New Roman"/>
      <w:sz w:val="28"/>
      <w:szCs w:val="28"/>
    </w:rPr>
  </w:style>
  <w:style w:type="paragraph" w:styleId="973">
    <w:name w:val="标题 2"/>
    <w:basedOn w:val="971"/>
    <w:next w:val="987"/>
    <w:link w:val="986"/>
    <w:qFormat/>
    <w:pPr>
      <w:jc w:val="center"/>
      <w:keepLines/>
      <w:keepNext/>
      <w:spacing w:before="260" w:after="260" w:line="416" w:lineRule="auto"/>
      <w:outlineLvl w:val="1"/>
    </w:pPr>
    <w:rPr>
      <w:rFonts w:ascii="Arial" w:hAnsi="Arial" w:eastAsia="幼圆" w:cs="Arial"/>
      <w:b/>
      <w:bCs/>
      <w:sz w:val="44"/>
      <w:szCs w:val="44"/>
    </w:rPr>
  </w:style>
  <w:style w:type="paragraph" w:styleId="974">
    <w:name w:val="标题 3"/>
    <w:basedOn w:val="971"/>
    <w:next w:val="987"/>
    <w:link w:val="9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5">
    <w:name w:val="标题 4"/>
    <w:basedOn w:val="971"/>
    <w:next w:val="971"/>
    <w:link w:val="990"/>
    <w:qFormat/>
    <w:pPr>
      <w:keepLines/>
      <w:keepNext/>
      <w:spacing w:before="280" w:after="290" w:line="376" w:lineRule="auto"/>
      <w:outlineLvl w:val="3"/>
    </w:pPr>
    <w:rPr>
      <w:rFonts w:ascii="Arial" w:hAnsi="Arial" w:eastAsia="黑体" w:cs="Arial"/>
      <w:b/>
      <w:bCs/>
      <w:sz w:val="28"/>
      <w:szCs w:val="28"/>
    </w:rPr>
  </w:style>
  <w:style w:type="paragraph" w:styleId="976">
    <w:name w:val="标题 5"/>
    <w:basedOn w:val="971"/>
    <w:next w:val="987"/>
    <w:link w:val="991"/>
    <w:qFormat/>
    <w:pPr>
      <w:keepNext/>
      <w:outlineLvl w:val="4"/>
    </w:pPr>
    <w:rPr>
      <w:rFonts w:ascii="宋体" w:hAnsi="Times New Roman" w:eastAsia="宋体" w:cs="Times New Roman"/>
      <w:color w:val="000000"/>
      <w:sz w:val="28"/>
      <w:szCs w:val="28"/>
    </w:rPr>
  </w:style>
  <w:style w:type="paragraph" w:styleId="977">
    <w:name w:val="标题 6"/>
    <w:basedOn w:val="971"/>
    <w:next w:val="971"/>
    <w:link w:val="9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8">
    <w:name w:val="标题 7"/>
    <w:basedOn w:val="971"/>
    <w:next w:val="971"/>
    <w:link w:val="9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9">
    <w:name w:val="标题 8"/>
    <w:basedOn w:val="971"/>
    <w:next w:val="971"/>
    <w:link w:val="9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0">
    <w:name w:val="标题 9"/>
    <w:basedOn w:val="971"/>
    <w:next w:val="971"/>
    <w:link w:val="995"/>
    <w:qFormat/>
    <w:pPr>
      <w:numPr>
        <w:ilvl w:val="8"/>
        <w:numId w:val="1"/>
      </w:numPr>
      <w:keepLines/>
      <w:keepNext/>
      <w:spacing w:before="240" w:after="64" w:line="320" w:lineRule="auto"/>
      <w:outlineLvl w:val="8"/>
    </w:pPr>
    <w:rPr>
      <w:rFonts w:ascii="Arial" w:hAnsi="Arial" w:eastAsia="黑体" w:cs="Times New Roman"/>
      <w:szCs w:val="21"/>
    </w:rPr>
  </w:style>
  <w:style w:type="character" w:styleId="981">
    <w:name w:val="默认段落字体"/>
    <w:next w:val="981"/>
    <w:link w:val="971"/>
    <w:uiPriority w:val="1"/>
    <w:unhideWhenUsed/>
  </w:style>
  <w:style w:type="table" w:styleId="982">
    <w:name w:val="普通表格"/>
    <w:next w:val="982"/>
    <w:link w:val="971"/>
    <w:uiPriority w:val="99"/>
    <w:unhideWhenUsed/>
    <w:tblPr/>
  </w:style>
  <w:style w:type="paragraph" w:styleId="983">
    <w:name w:val="表格文字"/>
    <w:basedOn w:val="971"/>
    <w:next w:val="984"/>
    <w:link w:val="971"/>
    <w:pPr>
      <w:ind w:firstLine="200"/>
      <w:jc w:val="left"/>
      <w:spacing w:line="360" w:lineRule="auto"/>
    </w:pPr>
    <w:rPr>
      <w:rFonts w:ascii="Arial" w:hAnsi="Arial"/>
      <w:sz w:val="24"/>
    </w:rPr>
  </w:style>
  <w:style w:type="paragraph" w:styleId="984">
    <w:name w:val="正文文本1"/>
    <w:basedOn w:val="971"/>
    <w:next w:val="971"/>
    <w:link w:val="971"/>
    <w:semiHidden/>
    <w:qFormat/>
    <w:rPr>
      <w:rFonts w:ascii="Arial" w:hAnsi="Arial" w:eastAsia="Arial" w:cs="Arial"/>
      <w:sz w:val="21"/>
      <w:szCs w:val="21"/>
      <w:lang w:val="en-US" w:eastAsia="en-US" w:bidi="ar-SA"/>
    </w:rPr>
  </w:style>
  <w:style w:type="character" w:styleId="985">
    <w:name w:val="标题 1 Char"/>
    <w:next w:val="985"/>
    <w:link w:val="972"/>
    <w:rPr>
      <w:rFonts w:ascii="楷体_GB2312" w:hAnsi="Times New Roman" w:eastAsia="楷体_GB2312" w:cs="Times New Roman"/>
      <w:sz w:val="28"/>
      <w:szCs w:val="28"/>
    </w:rPr>
  </w:style>
  <w:style w:type="character" w:styleId="986">
    <w:name w:val="标题 2 Char"/>
    <w:next w:val="986"/>
    <w:link w:val="973"/>
    <w:rPr>
      <w:rFonts w:ascii="Arial" w:hAnsi="Arial" w:eastAsia="幼圆" w:cs="Arial"/>
      <w:b/>
      <w:bCs/>
      <w:sz w:val="44"/>
      <w:szCs w:val="44"/>
    </w:rPr>
  </w:style>
  <w:style w:type="paragraph" w:styleId="987">
    <w:name w:val="正文缩进"/>
    <w:basedOn w:val="971"/>
    <w:next w:val="987"/>
    <w:link w:val="988"/>
    <w:pPr>
      <w:ind w:firstLine="420"/>
    </w:pPr>
    <w:rPr>
      <w:szCs w:val="21"/>
    </w:rPr>
  </w:style>
  <w:style w:type="character" w:styleId="988">
    <w:name w:val="正文缩进 Char"/>
    <w:next w:val="988"/>
    <w:link w:val="987"/>
    <w:rPr>
      <w:szCs w:val="21"/>
    </w:rPr>
  </w:style>
  <w:style w:type="character" w:styleId="989">
    <w:name w:val="标题 3 Char"/>
    <w:next w:val="989"/>
    <w:link w:val="974"/>
    <w:rPr>
      <w:rFonts w:ascii="Times New Roman" w:hAnsi="Times New Roman" w:eastAsia="宋体" w:cs="Times New Roman"/>
      <w:b/>
      <w:bCs/>
      <w:sz w:val="32"/>
      <w:szCs w:val="32"/>
    </w:rPr>
  </w:style>
  <w:style w:type="character" w:styleId="990">
    <w:name w:val="标题 4 Char"/>
    <w:next w:val="990"/>
    <w:link w:val="975"/>
    <w:rPr>
      <w:rFonts w:ascii="Arial" w:hAnsi="Arial" w:eastAsia="黑体" w:cs="Arial"/>
      <w:b/>
      <w:bCs/>
      <w:sz w:val="28"/>
      <w:szCs w:val="28"/>
    </w:rPr>
  </w:style>
  <w:style w:type="character" w:styleId="991">
    <w:name w:val="标题 5 Char"/>
    <w:next w:val="991"/>
    <w:link w:val="976"/>
    <w:rPr>
      <w:rFonts w:ascii="宋体" w:hAnsi="Times New Roman" w:eastAsia="宋体" w:cs="Times New Roman"/>
      <w:color w:val="000000"/>
      <w:sz w:val="28"/>
      <w:szCs w:val="28"/>
    </w:rPr>
  </w:style>
  <w:style w:type="character" w:styleId="992">
    <w:name w:val="标题 6 Char"/>
    <w:next w:val="992"/>
    <w:link w:val="977"/>
    <w:rPr>
      <w:rFonts w:ascii="Arial" w:hAnsi="Arial" w:eastAsia="黑体" w:cs="Times New Roman"/>
      <w:b/>
      <w:bCs/>
      <w:sz w:val="24"/>
      <w:szCs w:val="24"/>
    </w:rPr>
  </w:style>
  <w:style w:type="character" w:styleId="993">
    <w:name w:val="标题 7 Char"/>
    <w:next w:val="993"/>
    <w:link w:val="978"/>
    <w:rPr>
      <w:rFonts w:ascii="Times New Roman" w:hAnsi="Times New Roman" w:eastAsia="宋体" w:cs="Times New Roman"/>
      <w:b/>
      <w:bCs/>
      <w:sz w:val="24"/>
      <w:szCs w:val="24"/>
    </w:rPr>
  </w:style>
  <w:style w:type="character" w:styleId="994">
    <w:name w:val="标题 8 Char"/>
    <w:next w:val="994"/>
    <w:link w:val="979"/>
    <w:rPr>
      <w:rFonts w:ascii="Arial" w:hAnsi="Arial" w:eastAsia="黑体" w:cs="Times New Roman"/>
      <w:sz w:val="24"/>
      <w:szCs w:val="24"/>
    </w:rPr>
  </w:style>
  <w:style w:type="character" w:styleId="995">
    <w:name w:val="标题 9 Char"/>
    <w:next w:val="995"/>
    <w:link w:val="980"/>
    <w:rPr>
      <w:rFonts w:ascii="Arial" w:hAnsi="Arial" w:eastAsia="黑体" w:cs="Times New Roman"/>
      <w:szCs w:val="21"/>
    </w:rPr>
  </w:style>
  <w:style w:type="paragraph" w:styleId="996">
    <w:name w:val="列表 3"/>
    <w:basedOn w:val="971"/>
    <w:next w:val="996"/>
    <w:link w:val="971"/>
    <w:pPr>
      <w:ind w:left="100" w:hanging="200"/>
    </w:pPr>
    <w:rPr>
      <w:rFonts w:ascii="Times New Roman" w:hAnsi="Times New Roman" w:eastAsia="宋体" w:cs="Times New Roman"/>
      <w:szCs w:val="21"/>
    </w:rPr>
  </w:style>
  <w:style w:type="paragraph" w:styleId="997">
    <w:name w:val="目录 7"/>
    <w:basedOn w:val="971"/>
    <w:next w:val="971"/>
    <w:link w:val="971"/>
    <w:semiHidden/>
    <w:pPr>
      <w:ind w:left="1260"/>
      <w:jc w:val="left"/>
    </w:pPr>
    <w:rPr>
      <w:rFonts w:ascii="Times New Roman" w:hAnsi="Times New Roman" w:eastAsia="宋体" w:cs="Times New Roman"/>
      <w:szCs w:val="21"/>
    </w:rPr>
  </w:style>
  <w:style w:type="paragraph" w:styleId="998">
    <w:name w:val="文档结构图"/>
    <w:basedOn w:val="971"/>
    <w:next w:val="998"/>
    <w:link w:val="999"/>
    <w:semiHidden/>
    <w:pPr>
      <w:shd w:val="clear" w:color="auto" w:fill="000080"/>
    </w:pPr>
    <w:rPr>
      <w:rFonts w:ascii="Times New Roman" w:hAnsi="Times New Roman" w:eastAsia="宋体" w:cs="Times New Roman"/>
      <w:szCs w:val="21"/>
    </w:rPr>
  </w:style>
  <w:style w:type="character" w:styleId="999">
    <w:name w:val="文档结构图 Char"/>
    <w:next w:val="999"/>
    <w:link w:val="998"/>
    <w:semiHidden/>
    <w:rPr>
      <w:rFonts w:ascii="Times New Roman" w:hAnsi="Times New Roman" w:eastAsia="宋体" w:cs="Times New Roman"/>
      <w:szCs w:val="21"/>
      <w:shd w:val="clear" w:color="auto" w:fill="000080"/>
    </w:rPr>
  </w:style>
  <w:style w:type="paragraph" w:styleId="1000">
    <w:name w:val="批注文字"/>
    <w:basedOn w:val="971"/>
    <w:next w:val="1000"/>
    <w:link w:val="1001"/>
    <w:unhideWhenUsed/>
    <w:pPr>
      <w:jc w:val="left"/>
    </w:pPr>
  </w:style>
  <w:style w:type="character" w:styleId="1001">
    <w:name w:val="批注文字 Char"/>
    <w:basedOn w:val="981"/>
    <w:next w:val="1001"/>
    <w:link w:val="1000"/>
    <w:uiPriority w:val="99"/>
    <w:semiHidden/>
  </w:style>
  <w:style w:type="paragraph" w:styleId="1002">
    <w:name w:val="正文文本 3"/>
    <w:basedOn w:val="971"/>
    <w:next w:val="1002"/>
    <w:link w:val="1003"/>
    <w:rPr>
      <w:rFonts w:ascii="仿宋_GB2312" w:hAnsi="Arial" w:eastAsia="仿宋_GB2312" w:cs="Times New Roman"/>
      <w:sz w:val="32"/>
      <w:szCs w:val="32"/>
    </w:rPr>
  </w:style>
  <w:style w:type="character" w:styleId="1003">
    <w:name w:val="正文文本 3 Char"/>
    <w:next w:val="1003"/>
    <w:link w:val="1002"/>
    <w:rPr>
      <w:rFonts w:ascii="仿宋_GB2312" w:hAnsi="Arial" w:eastAsia="仿宋_GB2312" w:cs="Times New Roman"/>
      <w:sz w:val="32"/>
      <w:szCs w:val="32"/>
    </w:rPr>
  </w:style>
  <w:style w:type="paragraph" w:styleId="1004">
    <w:name w:val="正文文本"/>
    <w:basedOn w:val="971"/>
    <w:next w:val="1004"/>
    <w:link w:val="1005"/>
    <w:rPr>
      <w:rFonts w:ascii="楷体_GB2312" w:hAnsi="Arial" w:eastAsia="楷体_GB2312" w:cs="Times New Roman"/>
      <w:sz w:val="28"/>
      <w:szCs w:val="28"/>
    </w:rPr>
  </w:style>
  <w:style w:type="character" w:styleId="1005">
    <w:name w:val="正文文本 Char"/>
    <w:next w:val="1005"/>
    <w:link w:val="1004"/>
    <w:rPr>
      <w:rFonts w:ascii="楷体_GB2312" w:hAnsi="Arial" w:eastAsia="楷体_GB2312" w:cs="Times New Roman"/>
      <w:sz w:val="28"/>
      <w:szCs w:val="28"/>
    </w:rPr>
  </w:style>
  <w:style w:type="paragraph" w:styleId="1006">
    <w:name w:val="正文文本缩进"/>
    <w:basedOn w:val="971"/>
    <w:next w:val="1008"/>
    <w:link w:val="1007"/>
    <w:unhideWhenUsed/>
    <w:pPr>
      <w:ind w:left="420"/>
      <w:spacing w:after="120"/>
    </w:pPr>
  </w:style>
  <w:style w:type="character" w:styleId="1007">
    <w:name w:val="正文文本缩进 Char"/>
    <w:basedOn w:val="981"/>
    <w:next w:val="1007"/>
    <w:link w:val="1006"/>
    <w:uiPriority w:val="99"/>
    <w:semiHidden/>
  </w:style>
  <w:style w:type="paragraph" w:styleId="1008">
    <w:name w:val="寄信人地址"/>
    <w:basedOn w:val="971"/>
    <w:next w:val="1008"/>
    <w:link w:val="971"/>
    <w:qFormat/>
    <w:rPr>
      <w:rFonts w:ascii="Arial" w:hAnsi="Arial" w:eastAsia="宋体" w:cs="宋体"/>
    </w:rPr>
  </w:style>
  <w:style w:type="paragraph" w:styleId="1009">
    <w:name w:val="列表 2"/>
    <w:basedOn w:val="971"/>
    <w:next w:val="1009"/>
    <w:link w:val="971"/>
    <w:pPr>
      <w:ind w:left="100" w:hanging="200"/>
    </w:pPr>
    <w:rPr>
      <w:rFonts w:ascii="Times New Roman" w:hAnsi="Times New Roman" w:eastAsia="宋体" w:cs="Times New Roman"/>
      <w:szCs w:val="21"/>
    </w:rPr>
  </w:style>
  <w:style w:type="paragraph" w:styleId="1010">
    <w:name w:val="索引 4"/>
    <w:basedOn w:val="971"/>
    <w:next w:val="971"/>
    <w:link w:val="971"/>
    <w:semiHidden/>
    <w:qFormat/>
    <w:pPr>
      <w:ind w:left="1260"/>
    </w:pPr>
    <w:rPr>
      <w:rFonts w:ascii="Calibri" w:hAnsi="Calibri" w:eastAsia="Calibri" w:cs="宋体"/>
      <w:sz w:val="20"/>
      <w:lang w:val="zh-CN"/>
    </w:rPr>
  </w:style>
  <w:style w:type="paragraph" w:styleId="1011">
    <w:name w:val="目录 5"/>
    <w:basedOn w:val="971"/>
    <w:next w:val="971"/>
    <w:link w:val="971"/>
    <w:semiHidden/>
    <w:pPr>
      <w:ind w:left="840"/>
      <w:jc w:val="left"/>
    </w:pPr>
    <w:rPr>
      <w:rFonts w:ascii="Times New Roman" w:hAnsi="Times New Roman" w:eastAsia="宋体" w:cs="Times New Roman"/>
      <w:szCs w:val="21"/>
    </w:rPr>
  </w:style>
  <w:style w:type="paragraph" w:styleId="1012">
    <w:name w:val="目录 3"/>
    <w:basedOn w:val="971"/>
    <w:next w:val="971"/>
    <w:link w:val="971"/>
    <w:semiHidden/>
    <w:pPr>
      <w:ind w:left="420"/>
      <w:jc w:val="left"/>
    </w:pPr>
    <w:rPr>
      <w:rFonts w:ascii="Times New Roman" w:hAnsi="Times New Roman" w:eastAsia="宋体" w:cs="Times New Roman"/>
      <w:i/>
      <w:iCs/>
      <w:szCs w:val="24"/>
    </w:rPr>
  </w:style>
  <w:style w:type="paragraph" w:styleId="1013">
    <w:name w:val="纯文本"/>
    <w:basedOn w:val="971"/>
    <w:next w:val="1013"/>
    <w:link w:val="1014"/>
    <w:rPr>
      <w:rFonts w:ascii="宋体" w:hAnsi="Courier New" w:eastAsia="宋体" w:cs="Courier New"/>
      <w:szCs w:val="21"/>
    </w:rPr>
  </w:style>
  <w:style w:type="character" w:styleId="1014">
    <w:name w:val="纯文本 Char"/>
    <w:next w:val="1014"/>
    <w:link w:val="1013"/>
    <w:rPr>
      <w:rFonts w:ascii="宋体" w:hAnsi="Courier New" w:eastAsia="宋体" w:cs="Courier New"/>
      <w:szCs w:val="21"/>
    </w:rPr>
  </w:style>
  <w:style w:type="paragraph" w:styleId="1015">
    <w:name w:val="目录 8"/>
    <w:basedOn w:val="971"/>
    <w:next w:val="971"/>
    <w:link w:val="971"/>
    <w:semiHidden/>
    <w:pPr>
      <w:ind w:left="1470"/>
      <w:jc w:val="left"/>
    </w:pPr>
    <w:rPr>
      <w:rFonts w:ascii="Times New Roman" w:hAnsi="Times New Roman" w:eastAsia="宋体" w:cs="Times New Roman"/>
      <w:szCs w:val="21"/>
    </w:rPr>
  </w:style>
  <w:style w:type="paragraph" w:styleId="1016">
    <w:name w:val="日期"/>
    <w:basedOn w:val="971"/>
    <w:next w:val="971"/>
    <w:link w:val="1017"/>
    <w:rPr>
      <w:rFonts w:ascii="Times New Roman" w:hAnsi="Times New Roman" w:eastAsia="宋体" w:cs="Times New Roman"/>
      <w:sz w:val="24"/>
      <w:szCs w:val="24"/>
    </w:rPr>
  </w:style>
  <w:style w:type="character" w:styleId="1017">
    <w:name w:val="日期 Char"/>
    <w:next w:val="1017"/>
    <w:link w:val="1016"/>
    <w:rPr>
      <w:rFonts w:ascii="Times New Roman" w:hAnsi="Times New Roman" w:eastAsia="宋体" w:cs="Times New Roman"/>
      <w:sz w:val="24"/>
      <w:szCs w:val="24"/>
    </w:rPr>
  </w:style>
  <w:style w:type="paragraph" w:styleId="1018">
    <w:name w:val="正文文本缩进 2"/>
    <w:basedOn w:val="971"/>
    <w:next w:val="1018"/>
    <w:link w:val="1019"/>
    <w:pPr>
      <w:ind w:left="630" w:firstLine="645"/>
    </w:pPr>
    <w:rPr>
      <w:rFonts w:ascii="Arial" w:hAnsi="Arial" w:eastAsia="仿宋_GB2312" w:cs="Arial"/>
      <w:sz w:val="32"/>
      <w:szCs w:val="32"/>
    </w:rPr>
  </w:style>
  <w:style w:type="character" w:styleId="1019">
    <w:name w:val="正文文本缩进 2 Char"/>
    <w:next w:val="1019"/>
    <w:link w:val="1018"/>
    <w:rPr>
      <w:rFonts w:ascii="Arial" w:hAnsi="Arial" w:eastAsia="仿宋_GB2312" w:cs="Arial"/>
      <w:sz w:val="32"/>
      <w:szCs w:val="32"/>
    </w:rPr>
  </w:style>
  <w:style w:type="paragraph" w:styleId="1020">
    <w:name w:val="批注框文本"/>
    <w:basedOn w:val="971"/>
    <w:next w:val="1020"/>
    <w:link w:val="1021"/>
    <w:semiHidden/>
    <w:rPr>
      <w:rFonts w:ascii="Times New Roman" w:hAnsi="Times New Roman" w:eastAsia="宋体" w:cs="Times New Roman"/>
      <w:sz w:val="18"/>
      <w:szCs w:val="18"/>
    </w:rPr>
  </w:style>
  <w:style w:type="character" w:styleId="1021">
    <w:name w:val="批注框文本 Char"/>
    <w:next w:val="1021"/>
    <w:link w:val="1020"/>
    <w:semiHidden/>
    <w:rPr>
      <w:rFonts w:ascii="Times New Roman" w:hAnsi="Times New Roman" w:eastAsia="宋体" w:cs="Times New Roman"/>
      <w:sz w:val="18"/>
      <w:szCs w:val="18"/>
    </w:rPr>
  </w:style>
  <w:style w:type="paragraph" w:styleId="1022">
    <w:name w:val="页脚"/>
    <w:basedOn w:val="971"/>
    <w:next w:val="1022"/>
    <w:link w:val="1023"/>
    <w:pPr>
      <w:jc w:val="left"/>
      <w:tabs>
        <w:tab w:val="center" w:pos="4153" w:leader="none"/>
        <w:tab w:val="right" w:pos="8306" w:leader="none"/>
      </w:tabs>
    </w:pPr>
    <w:rPr>
      <w:rFonts w:ascii="Times New Roman" w:hAnsi="Times New Roman" w:eastAsia="宋体" w:cs="Times New Roman"/>
      <w:sz w:val="18"/>
      <w:szCs w:val="18"/>
    </w:rPr>
  </w:style>
  <w:style w:type="character" w:styleId="1023">
    <w:name w:val="页脚 Char"/>
    <w:next w:val="1023"/>
    <w:link w:val="1022"/>
    <w:rPr>
      <w:rFonts w:ascii="Times New Roman" w:hAnsi="Times New Roman" w:eastAsia="宋体" w:cs="Times New Roman"/>
      <w:sz w:val="18"/>
      <w:szCs w:val="18"/>
    </w:rPr>
  </w:style>
  <w:style w:type="paragraph" w:styleId="1024">
    <w:name w:val="页眉"/>
    <w:basedOn w:val="971"/>
    <w:next w:val="1024"/>
    <w:link w:val="10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5">
    <w:name w:val="页眉 Char"/>
    <w:next w:val="1025"/>
    <w:link w:val="1024"/>
    <w:rPr>
      <w:rFonts w:ascii="Times New Roman" w:hAnsi="Times New Roman" w:eastAsia="宋体" w:cs="Times New Roman"/>
      <w:sz w:val="18"/>
      <w:szCs w:val="18"/>
    </w:rPr>
  </w:style>
  <w:style w:type="paragraph" w:styleId="1026">
    <w:name w:val="目录 1"/>
    <w:basedOn w:val="971"/>
    <w:next w:val="971"/>
    <w:link w:val="9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7">
    <w:name w:val="目录 4"/>
    <w:basedOn w:val="971"/>
    <w:next w:val="971"/>
    <w:link w:val="971"/>
    <w:semiHidden/>
    <w:pPr>
      <w:ind w:left="630"/>
      <w:jc w:val="left"/>
    </w:pPr>
    <w:rPr>
      <w:rFonts w:ascii="Times New Roman" w:hAnsi="Times New Roman" w:eastAsia="宋体" w:cs="Times New Roman"/>
      <w:szCs w:val="21"/>
    </w:rPr>
  </w:style>
  <w:style w:type="paragraph" w:styleId="1028">
    <w:name w:val="列表"/>
    <w:basedOn w:val="971"/>
    <w:next w:val="1028"/>
    <w:link w:val="971"/>
    <w:pPr>
      <w:ind w:left="200" w:hanging="200"/>
    </w:pPr>
    <w:rPr>
      <w:rFonts w:ascii="Times New Roman" w:hAnsi="Times New Roman" w:eastAsia="宋体" w:cs="Times New Roman"/>
      <w:szCs w:val="21"/>
    </w:rPr>
  </w:style>
  <w:style w:type="paragraph" w:styleId="1029">
    <w:name w:val="目录 6"/>
    <w:basedOn w:val="971"/>
    <w:next w:val="971"/>
    <w:link w:val="971"/>
    <w:semiHidden/>
    <w:pPr>
      <w:ind w:left="1050"/>
      <w:jc w:val="left"/>
    </w:pPr>
    <w:rPr>
      <w:rFonts w:ascii="Times New Roman" w:hAnsi="Times New Roman" w:eastAsia="宋体" w:cs="Times New Roman"/>
      <w:szCs w:val="21"/>
    </w:rPr>
  </w:style>
  <w:style w:type="paragraph" w:styleId="1030">
    <w:name w:val="正文文本缩进 3"/>
    <w:basedOn w:val="971"/>
    <w:next w:val="1030"/>
    <w:link w:val="1031"/>
    <w:pPr>
      <w:ind w:left="645" w:firstLine="645"/>
    </w:pPr>
    <w:rPr>
      <w:rFonts w:ascii="Arial" w:hAnsi="Arial" w:eastAsia="仿宋_GB2312" w:cs="Arial"/>
      <w:color w:val="ffff00"/>
      <w:sz w:val="32"/>
      <w:szCs w:val="32"/>
    </w:rPr>
  </w:style>
  <w:style w:type="character" w:styleId="1031">
    <w:name w:val="正文文本缩进 3 Char"/>
    <w:next w:val="1031"/>
    <w:link w:val="1030"/>
    <w:rPr>
      <w:rFonts w:ascii="Arial" w:hAnsi="Arial" w:eastAsia="仿宋_GB2312" w:cs="Arial"/>
      <w:color w:val="ffff00"/>
      <w:sz w:val="32"/>
      <w:szCs w:val="32"/>
    </w:rPr>
  </w:style>
  <w:style w:type="paragraph" w:styleId="1032">
    <w:name w:val="图表目录"/>
    <w:basedOn w:val="971"/>
    <w:next w:val="971"/>
    <w:link w:val="971"/>
    <w:semiHidden/>
    <w:pPr>
      <w:ind w:left="840" w:hanging="420"/>
    </w:pPr>
    <w:rPr>
      <w:rFonts w:ascii="Times New Roman" w:hAnsi="Times New Roman" w:eastAsia="宋体" w:cs="Times New Roman"/>
      <w:szCs w:val="21"/>
    </w:rPr>
  </w:style>
  <w:style w:type="paragraph" w:styleId="1033">
    <w:name w:val="目录 2"/>
    <w:basedOn w:val="971"/>
    <w:next w:val="971"/>
    <w:link w:val="971"/>
    <w:semiHidden/>
    <w:pPr>
      <w:ind w:left="210"/>
      <w:jc w:val="left"/>
    </w:pPr>
    <w:rPr>
      <w:rFonts w:ascii="Times New Roman" w:hAnsi="Times New Roman" w:eastAsia="宋体" w:cs="Times New Roman"/>
      <w:smallCaps/>
      <w:szCs w:val="24"/>
    </w:rPr>
  </w:style>
  <w:style w:type="paragraph" w:styleId="1034">
    <w:name w:val="目录 9"/>
    <w:basedOn w:val="971"/>
    <w:next w:val="971"/>
    <w:link w:val="971"/>
    <w:semiHidden/>
    <w:pPr>
      <w:ind w:left="1680"/>
      <w:jc w:val="left"/>
    </w:pPr>
    <w:rPr>
      <w:rFonts w:ascii="Times New Roman" w:hAnsi="Times New Roman" w:eastAsia="宋体" w:cs="Times New Roman"/>
      <w:szCs w:val="21"/>
    </w:rPr>
  </w:style>
  <w:style w:type="paragraph" w:styleId="1035">
    <w:name w:val="正文文本 2"/>
    <w:basedOn w:val="971"/>
    <w:next w:val="1035"/>
    <w:link w:val="1036"/>
    <w:pPr>
      <w:jc w:val="center"/>
      <w:widowControl/>
    </w:pPr>
    <w:rPr>
      <w:rFonts w:ascii="楷体_GB2312" w:hAnsi="Times New Roman" w:eastAsia="楷体_GB2312" w:cs="Times New Roman"/>
      <w:sz w:val="28"/>
      <w:szCs w:val="28"/>
    </w:rPr>
  </w:style>
  <w:style w:type="character" w:styleId="1036">
    <w:name w:val="正文文本 2 Char"/>
    <w:next w:val="1036"/>
    <w:link w:val="1035"/>
    <w:rPr>
      <w:rFonts w:ascii="楷体_GB2312" w:hAnsi="Times New Roman" w:eastAsia="楷体_GB2312" w:cs="Times New Roman"/>
      <w:sz w:val="28"/>
      <w:szCs w:val="28"/>
    </w:rPr>
  </w:style>
  <w:style w:type="paragraph" w:styleId="1037">
    <w:name w:val="普通(网站)"/>
    <w:basedOn w:val="971"/>
    <w:next w:val="1037"/>
    <w:link w:val="971"/>
    <w:uiPriority w:val="99"/>
    <w:pPr>
      <w:jc w:val="left"/>
      <w:spacing w:before="100" w:beforeAutospacing="1" w:after="100" w:afterAutospacing="1"/>
      <w:widowControl/>
    </w:pPr>
    <w:rPr>
      <w:rFonts w:ascii="宋体" w:hAnsi="宋体" w:eastAsia="宋体" w:cs="宋体"/>
      <w:sz w:val="24"/>
      <w:szCs w:val="24"/>
    </w:rPr>
  </w:style>
  <w:style w:type="paragraph" w:styleId="1038">
    <w:name w:val="索引 1"/>
    <w:basedOn w:val="971"/>
    <w:next w:val="971"/>
    <w:link w:val="971"/>
    <w:semiHidden/>
    <w:pPr>
      <w:spacing w:line="240" w:lineRule="atLeast"/>
    </w:pPr>
    <w:rPr>
      <w:rFonts w:ascii="Times New Roman" w:hAnsi="Times New Roman" w:eastAsia="宋体" w:cs="Times New Roman"/>
      <w:b/>
      <w:bCs/>
      <w:szCs w:val="21"/>
    </w:rPr>
  </w:style>
  <w:style w:type="paragraph" w:styleId="1039">
    <w:name w:val="批注主题"/>
    <w:basedOn w:val="1000"/>
    <w:next w:val="1000"/>
    <w:link w:val="1040"/>
    <w:semiHidden/>
    <w:rPr>
      <w:rFonts w:ascii="Times New Roman" w:hAnsi="Times New Roman" w:eastAsia="宋体" w:cs="Times New Roman"/>
      <w:b/>
      <w:bCs/>
      <w:szCs w:val="21"/>
    </w:rPr>
  </w:style>
  <w:style w:type="character" w:styleId="1040">
    <w:name w:val="批注主题 Char"/>
    <w:next w:val="1040"/>
    <w:link w:val="1039"/>
    <w:semiHidden/>
    <w:rPr>
      <w:rFonts w:ascii="Times New Roman" w:hAnsi="Times New Roman" w:eastAsia="宋体" w:cs="Times New Roman"/>
      <w:b/>
      <w:bCs/>
      <w:szCs w:val="21"/>
    </w:rPr>
  </w:style>
  <w:style w:type="paragraph" w:styleId="1041">
    <w:name w:val="正文首行缩进"/>
    <w:basedOn w:val="971"/>
    <w:next w:val="1041"/>
    <w:link w:val="1042"/>
    <w:pPr>
      <w:ind w:firstLine="200"/>
      <w:spacing w:line="360" w:lineRule="auto"/>
    </w:pPr>
    <w:rPr>
      <w:rFonts w:ascii="仿宋_GB2312" w:hAnsi="Times New Roman" w:eastAsia="仿宋_GB2312" w:cs="Times New Roman"/>
      <w:sz w:val="30"/>
      <w:szCs w:val="30"/>
    </w:rPr>
  </w:style>
  <w:style w:type="character" w:styleId="1042">
    <w:name w:val="正文首行缩进 Char"/>
    <w:next w:val="1042"/>
    <w:link w:val="1041"/>
    <w:rPr>
      <w:rFonts w:ascii="仿宋_GB2312" w:hAnsi="Times New Roman" w:eastAsia="仿宋_GB2312" w:cs="Times New Roman"/>
      <w:sz w:val="30"/>
      <w:szCs w:val="30"/>
    </w:rPr>
  </w:style>
  <w:style w:type="paragraph" w:styleId="1043">
    <w:name w:val="正文首行缩进 2"/>
    <w:basedOn w:val="1006"/>
    <w:next w:val="971"/>
    <w:link w:val="1044"/>
    <w:pPr>
      <w:ind w:left="0" w:firstLine="420"/>
      <w:spacing w:after="0" w:line="360" w:lineRule="auto"/>
    </w:pPr>
    <w:rPr>
      <w:rFonts w:ascii="宋体" w:hAnsi="宋体" w:eastAsia="宋体" w:cs="Times New Roman"/>
      <w:szCs w:val="20"/>
    </w:rPr>
  </w:style>
  <w:style w:type="character" w:styleId="1044">
    <w:name w:val="正文首行缩进 2 Char"/>
    <w:next w:val="1044"/>
    <w:link w:val="1043"/>
    <w:rPr>
      <w:rFonts w:ascii="宋体" w:hAnsi="宋体" w:eastAsia="宋体" w:cs="Times New Roman"/>
      <w:szCs w:val="20"/>
    </w:rPr>
  </w:style>
  <w:style w:type="table" w:styleId="1045">
    <w:name w:val="网格型"/>
    <w:basedOn w:val="982"/>
    <w:next w:val="1045"/>
    <w:link w:val="971"/>
    <w:pPr>
      <w:jc w:val="both"/>
      <w:widowControl w:val="off"/>
    </w:pPr>
    <w:rPr>
      <w:rFonts w:ascii="Times New Roman" w:hAnsi="Times New Roman" w:eastAsia="宋体" w:cs="Times New Roman"/>
      <w:sz w:val="20"/>
      <w:szCs w:val="20"/>
    </w:rPr>
    <w:tblPr/>
  </w:style>
  <w:style w:type="character" w:styleId="1046">
    <w:name w:val="要点"/>
    <w:next w:val="1046"/>
    <w:link w:val="971"/>
    <w:qFormat/>
    <w:rPr>
      <w:b/>
      <w:bCs/>
    </w:rPr>
  </w:style>
  <w:style w:type="character" w:styleId="1047">
    <w:name w:val="页码"/>
    <w:next w:val="1047"/>
    <w:link w:val="971"/>
  </w:style>
  <w:style w:type="character" w:styleId="1048">
    <w:name w:val="已访问的超链接"/>
    <w:next w:val="1048"/>
    <w:link w:val="971"/>
    <w:rPr>
      <w:color w:val="800080"/>
      <w:u w:val="single"/>
    </w:rPr>
  </w:style>
  <w:style w:type="character" w:styleId="1049">
    <w:name w:val="超链接"/>
    <w:next w:val="1049"/>
    <w:link w:val="971"/>
    <w:rPr>
      <w:color w:val="0000ff"/>
      <w:u w:val="single"/>
    </w:rPr>
  </w:style>
  <w:style w:type="character" w:styleId="1050">
    <w:name w:val="批注引用"/>
    <w:next w:val="1050"/>
    <w:link w:val="971"/>
    <w:semiHidden/>
    <w:rPr>
      <w:sz w:val="21"/>
      <w:szCs w:val="21"/>
    </w:rPr>
  </w:style>
  <w:style w:type="character" w:styleId="1051">
    <w:name w:val="font91"/>
    <w:next w:val="1051"/>
    <w:link w:val="971"/>
    <w:rPr>
      <w:rFonts w:hint="eastAsia" w:ascii="宋体" w:hAnsi="宋体" w:eastAsia="宋体" w:cs="宋体"/>
      <w:i w:val="0"/>
      <w:color w:val="000000"/>
      <w:sz w:val="22"/>
      <w:szCs w:val="22"/>
      <w:u w:val="none"/>
    </w:rPr>
  </w:style>
  <w:style w:type="character" w:styleId="1052">
    <w:name w:val="font5 Char"/>
    <w:next w:val="1052"/>
    <w:link w:val="971"/>
    <w:rPr>
      <w:rFonts w:ascii="宋体" w:hAnsi="宋体" w:eastAsia="宋体"/>
      <w:sz w:val="28"/>
      <w:szCs w:val="28"/>
      <w:lang w:val="en-US" w:eastAsia="zh-CN" w:bidi="ar-SA"/>
    </w:rPr>
  </w:style>
  <w:style w:type="character" w:styleId="1053">
    <w:name w:val="font71"/>
    <w:next w:val="1053"/>
    <w:link w:val="971"/>
    <w:rPr>
      <w:rFonts w:hint="eastAsia" w:ascii="宋体" w:hAnsi="宋体" w:eastAsia="宋体" w:cs="宋体"/>
      <w:b/>
      <w:i w:val="0"/>
      <w:color w:val="000000"/>
      <w:sz w:val="24"/>
      <w:szCs w:val="24"/>
      <w:u w:val="none"/>
    </w:rPr>
  </w:style>
  <w:style w:type="character" w:styleId="1054">
    <w:name w:val="font61"/>
    <w:next w:val="1054"/>
    <w:link w:val="971"/>
    <w:rPr>
      <w:rFonts w:hint="eastAsia" w:ascii="宋体" w:hAnsi="宋体" w:eastAsia="宋体" w:cs="宋体"/>
      <w:i w:val="0"/>
      <w:color w:val="000000"/>
      <w:sz w:val="22"/>
      <w:szCs w:val="22"/>
      <w:u w:val="none"/>
    </w:rPr>
  </w:style>
  <w:style w:type="character" w:styleId="1055">
    <w:name w:val="font13"/>
    <w:next w:val="1055"/>
    <w:link w:val="971"/>
    <w:rPr>
      <w:rFonts w:hint="eastAsia" w:ascii="宋体" w:hAnsi="宋体" w:eastAsia="宋体" w:cs="宋体"/>
      <w:b/>
      <w:i w:val="0"/>
      <w:color w:val="000000"/>
      <w:sz w:val="24"/>
      <w:szCs w:val="24"/>
      <w:u w:val="none"/>
    </w:rPr>
  </w:style>
  <w:style w:type="character" w:styleId="1056">
    <w:name w:val="font81"/>
    <w:next w:val="1056"/>
    <w:link w:val="971"/>
    <w:rPr>
      <w:rFonts w:hint="eastAsia" w:ascii="宋体" w:hAnsi="宋体" w:eastAsia="宋体" w:cs="宋体"/>
      <w:i w:val="0"/>
      <w:color w:val="000000"/>
      <w:sz w:val="22"/>
      <w:szCs w:val="22"/>
      <w:u w:val="none"/>
    </w:rPr>
  </w:style>
  <w:style w:type="character" w:styleId="1057">
    <w:name w:val="font31"/>
    <w:next w:val="1057"/>
    <w:link w:val="971"/>
    <w:rPr>
      <w:rFonts w:hint="eastAsia" w:ascii="宋体" w:hAnsi="宋体" w:eastAsia="宋体" w:cs="宋体"/>
      <w:b/>
      <w:i w:val="0"/>
      <w:color w:val="000000"/>
      <w:sz w:val="22"/>
      <w:szCs w:val="22"/>
      <w:u w:val="none"/>
    </w:rPr>
  </w:style>
  <w:style w:type="character" w:styleId="1058">
    <w:name w:val="font132"/>
    <w:next w:val="1058"/>
    <w:link w:val="971"/>
    <w:rPr>
      <w:rFonts w:ascii="Times New Roman" w:hAnsi="Times New Roman" w:cs="Times New Roman"/>
      <w:i w:val="0"/>
      <w:color w:val="000000"/>
      <w:sz w:val="22"/>
      <w:szCs w:val="22"/>
      <w:u w:val="none"/>
    </w:rPr>
  </w:style>
  <w:style w:type="character" w:styleId="1059">
    <w:name w:val="font121"/>
    <w:next w:val="1059"/>
    <w:link w:val="971"/>
    <w:rPr>
      <w:rFonts w:ascii="Times New Roman" w:hAnsi="Times New Roman" w:cs="Times New Roman"/>
      <w:b/>
      <w:i w:val="0"/>
      <w:color w:val="000000"/>
      <w:sz w:val="24"/>
      <w:szCs w:val="24"/>
      <w:u w:val="none"/>
    </w:rPr>
  </w:style>
  <w:style w:type="character" w:styleId="1060">
    <w:name w:val="font41"/>
    <w:next w:val="1060"/>
    <w:link w:val="971"/>
    <w:rPr>
      <w:rFonts w:hint="eastAsia" w:ascii="宋体" w:hAnsi="宋体" w:eastAsia="宋体" w:cs="宋体"/>
      <w:b/>
      <w:i w:val="0"/>
      <w:color w:val="000000"/>
      <w:sz w:val="24"/>
      <w:szCs w:val="24"/>
      <w:u w:val="none"/>
    </w:rPr>
  </w:style>
  <w:style w:type="character" w:styleId="1061">
    <w:name w:val="列出段落 Char,Bullet List Char,numbered Char,FooterText Char,List Paragraph1 Char,Paragraphe de liste1 Char"/>
    <w:next w:val="1061"/>
    <w:link w:val="1062"/>
    <w:rPr>
      <w:rFonts w:ascii="Calibri" w:hAnsi="Calibri"/>
      <w:sz w:val="24"/>
      <w:szCs w:val="24"/>
      <w:lang w:eastAsia="en-US" w:bidi="en-US"/>
    </w:rPr>
  </w:style>
  <w:style w:type="paragraph" w:styleId="1062">
    <w:name w:val="列出段落1"/>
    <w:basedOn w:val="971"/>
    <w:next w:val="1062"/>
    <w:link w:val="1061"/>
    <w:qFormat/>
    <w:pPr>
      <w:contextualSpacing/>
      <w:ind w:left="720"/>
      <w:jc w:val="left"/>
      <w:widowControl/>
    </w:pPr>
    <w:rPr>
      <w:rFonts w:ascii="Calibri" w:hAnsi="Calibri"/>
      <w:sz w:val="24"/>
      <w:szCs w:val="24"/>
      <w:lang w:eastAsia="en-US" w:bidi="en-US"/>
    </w:rPr>
  </w:style>
  <w:style w:type="character" w:styleId="1063">
    <w:name w:val="font161"/>
    <w:next w:val="1063"/>
    <w:link w:val="971"/>
    <w:rPr>
      <w:rFonts w:ascii="Times New Roman" w:hAnsi="Times New Roman" w:cs="Times New Roman"/>
      <w:b/>
      <w:i w:val="0"/>
      <w:color w:val="000000"/>
      <w:sz w:val="22"/>
      <w:szCs w:val="22"/>
      <w:u w:val="none"/>
    </w:rPr>
  </w:style>
  <w:style w:type="character" w:styleId="1064">
    <w:name w:val="font101"/>
    <w:next w:val="1064"/>
    <w:link w:val="971"/>
    <w:rPr>
      <w:rFonts w:ascii="微软雅黑" w:hAnsi="微软雅黑" w:eastAsia="微软雅黑" w:cs="微软雅黑"/>
      <w:i w:val="0"/>
      <w:color w:val="000000"/>
      <w:sz w:val="22"/>
      <w:szCs w:val="22"/>
      <w:u w:val="none"/>
    </w:rPr>
  </w:style>
  <w:style w:type="character" w:styleId="1065">
    <w:name w:val="二级目录 Char"/>
    <w:next w:val="1065"/>
    <w:link w:val="1066"/>
    <w:rPr>
      <w:b/>
      <w:sz w:val="30"/>
      <w:szCs w:val="28"/>
    </w:rPr>
  </w:style>
  <w:style w:type="paragraph" w:styleId="1066">
    <w:name w:val="二级目录"/>
    <w:next w:val="971"/>
    <w:link w:val="1065"/>
    <w:pPr>
      <w:numPr>
        <w:ilvl w:val="0"/>
        <w:numId w:val="2"/>
      </w:numPr>
      <w:tabs>
        <w:tab w:val="left" w:pos="907" w:leader="none"/>
        <w:tab w:val="left" w:pos="1145" w:leader="none"/>
      </w:tabs>
      <w:outlineLvl w:val="1"/>
    </w:pPr>
    <w:rPr>
      <w:b/>
      <w:sz w:val="30"/>
      <w:szCs w:val="28"/>
      <w:lang w:val="en-US" w:eastAsia="zh-CN" w:bidi="ar-SA"/>
    </w:rPr>
  </w:style>
  <w:style w:type="character" w:styleId="1067">
    <w:name w:val="font21"/>
    <w:next w:val="1067"/>
    <w:link w:val="971"/>
    <w:rPr>
      <w:rFonts w:ascii="Times New Roman" w:hAnsi="Times New Roman" w:cs="Times New Roman"/>
      <w:b/>
      <w:i w:val="0"/>
      <w:color w:val="000000"/>
      <w:sz w:val="22"/>
      <w:szCs w:val="22"/>
      <w:u w:val="none"/>
    </w:rPr>
  </w:style>
  <w:style w:type="character" w:styleId="1068">
    <w:name w:val="font11"/>
    <w:next w:val="1068"/>
    <w:link w:val="971"/>
    <w:rPr>
      <w:rFonts w:ascii="Times New Roman" w:hAnsi="Times New Roman" w:cs="Times New Roman"/>
      <w:i w:val="0"/>
      <w:color w:val="000000"/>
      <w:sz w:val="22"/>
      <w:szCs w:val="22"/>
      <w:u w:val="none"/>
    </w:rPr>
  </w:style>
  <w:style w:type="paragraph" w:styleId="1069">
    <w:name w:val="xl24"/>
    <w:basedOn w:val="971"/>
    <w:next w:val="1069"/>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0">
    <w:name w:val=" Char Char Char Char"/>
    <w:basedOn w:val="998"/>
    <w:next w:val="1070"/>
    <w:link w:val="971"/>
    <w:pPr>
      <w:spacing w:line="360" w:lineRule="auto"/>
    </w:pPr>
    <w:rPr>
      <w:rFonts w:ascii="Tahoma" w:hAnsi="Tahoma"/>
      <w:sz w:val="24"/>
      <w:szCs w:val="24"/>
    </w:rPr>
  </w:style>
  <w:style w:type="paragraph" w:styleId="1071">
    <w:name w:val="正文文本首行缩进 2"/>
    <w:basedOn w:val="1072"/>
    <w:next w:val="1071"/>
    <w:link w:val="971"/>
    <w:qFormat/>
    <w:pPr>
      <w:ind w:left="0" w:firstLine="420"/>
      <w:spacing w:after="0" w:line="360" w:lineRule="auto"/>
    </w:pPr>
    <w:rPr>
      <w:rFonts w:ascii="宋体" w:hAnsi="宋体"/>
      <w:sz w:val="20"/>
      <w:szCs w:val="20"/>
      <w:lang w:val="en-US" w:eastAsia="en-US"/>
    </w:rPr>
  </w:style>
  <w:style w:type="paragraph" w:styleId="1072">
    <w:name w:val="正文文本缩进1"/>
    <w:basedOn w:val="971"/>
    <w:next w:val="1071"/>
    <w:link w:val="971"/>
    <w:unhideWhenUsed/>
    <w:qFormat/>
    <w:pPr>
      <w:ind w:left="420"/>
      <w:spacing w:after="120"/>
    </w:pPr>
  </w:style>
  <w:style w:type="paragraph" w:styleId="1073">
    <w:name w:val=" Char Char Char Char Char Char Char Char Char Char"/>
    <w:basedOn w:val="971"/>
    <w:next w:val="1073"/>
    <w:link w:val="971"/>
    <w:pPr>
      <w:spacing w:line="360" w:lineRule="auto"/>
    </w:pPr>
    <w:rPr>
      <w:rFonts w:ascii="Times New Roman" w:hAnsi="Times New Roman" w:eastAsia="宋体" w:cs="Times New Roman"/>
      <w:sz w:val="24"/>
      <w:szCs w:val="20"/>
    </w:rPr>
  </w:style>
  <w:style w:type="paragraph" w:styleId="1074">
    <w:name w:val="xl30"/>
    <w:basedOn w:val="971"/>
    <w:next w:val="1074"/>
    <w:link w:val="971"/>
    <w:pPr>
      <w:jc w:val="center"/>
      <w:spacing w:before="100" w:beforeAutospacing="1" w:after="100" w:afterAutospacing="1"/>
      <w:widowControl/>
    </w:pPr>
    <w:rPr>
      <w:rFonts w:ascii="宋体" w:hAnsi="宋体" w:eastAsia="宋体" w:cs="Times New Roman"/>
      <w:b/>
      <w:bCs/>
      <w:sz w:val="36"/>
      <w:szCs w:val="36"/>
    </w:rPr>
  </w:style>
  <w:style w:type="paragraph" w:styleId="1075">
    <w:name w:val="附录1"/>
    <w:next w:val="1075"/>
    <w:link w:val="9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6">
    <w:name w:val="xl26"/>
    <w:basedOn w:val="971"/>
    <w:next w:val="1076"/>
    <w:link w:val="9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7">
    <w:name w:val="font7"/>
    <w:basedOn w:val="971"/>
    <w:next w:val="1077"/>
    <w:link w:val="971"/>
    <w:pPr>
      <w:jc w:val="left"/>
      <w:spacing w:before="100" w:beforeAutospacing="1" w:after="100" w:afterAutospacing="1"/>
      <w:widowControl/>
    </w:pPr>
    <w:rPr>
      <w:rFonts w:hint="eastAsia" w:ascii="宋体" w:hAnsi="宋体" w:eastAsia="宋体" w:cs="Times New Roman"/>
      <w:sz w:val="18"/>
      <w:szCs w:val="18"/>
    </w:rPr>
  </w:style>
  <w:style w:type="paragraph" w:styleId="1078">
    <w:name w:val="无间隔"/>
    <w:next w:val="1078"/>
    <w:link w:val="971"/>
    <w:uiPriority w:val="99"/>
    <w:qFormat/>
    <w:pPr>
      <w:jc w:val="both"/>
      <w:widowControl w:val="off"/>
    </w:pPr>
    <w:rPr>
      <w:rFonts w:ascii="Times New Roman" w:hAnsi="Times New Roman"/>
      <w:sz w:val="21"/>
      <w:szCs w:val="21"/>
      <w:lang w:val="en-US" w:eastAsia="zh-CN" w:bidi="ar-SA"/>
    </w:rPr>
  </w:style>
  <w:style w:type="paragraph" w:styleId="1079">
    <w:name w:val="xl29"/>
    <w:basedOn w:val="971"/>
    <w:next w:val="1079"/>
    <w:link w:val="9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0">
    <w:name w:val="修订"/>
    <w:next w:val="1080"/>
    <w:link w:val="971"/>
    <w:uiPriority w:val="99"/>
    <w:semiHidden/>
    <w:rPr>
      <w:rFonts w:ascii="Times New Roman" w:hAnsi="Times New Roman"/>
      <w:sz w:val="21"/>
      <w:szCs w:val="21"/>
      <w:lang w:val="en-US" w:eastAsia="zh-CN" w:bidi="ar-SA"/>
    </w:rPr>
  </w:style>
  <w:style w:type="paragraph" w:styleId="1081">
    <w:name w:val="font5"/>
    <w:basedOn w:val="971"/>
    <w:next w:val="1081"/>
    <w:link w:val="971"/>
    <w:pPr>
      <w:jc w:val="left"/>
      <w:spacing w:before="100" w:beforeAutospacing="1" w:after="100" w:afterAutospacing="1"/>
      <w:widowControl/>
    </w:pPr>
    <w:rPr>
      <w:rFonts w:hint="eastAsia" w:ascii="宋体" w:hAnsi="宋体" w:eastAsia="宋体" w:cs="Times New Roman"/>
      <w:sz w:val="28"/>
      <w:szCs w:val="28"/>
    </w:rPr>
  </w:style>
  <w:style w:type="paragraph" w:styleId="1082">
    <w:name w:val="Body Text(ch)"/>
    <w:basedOn w:val="971"/>
    <w:next w:val="1004"/>
    <w:link w:val="971"/>
    <w:pPr>
      <w:spacing w:after="120"/>
    </w:pPr>
    <w:rPr>
      <w:rFonts w:ascii="宋体" w:hAnsi="Arial" w:eastAsia="宋体" w:cs="Times New Roman"/>
      <w:bCs/>
      <w:iCs/>
      <w:szCs w:val="24"/>
    </w:rPr>
  </w:style>
  <w:style w:type="paragraph" w:styleId="1083">
    <w:name w:val="正文文本12"/>
    <w:basedOn w:val="971"/>
    <w:next w:val="1083"/>
    <w:link w:val="971"/>
    <w:uiPriority w:val="1"/>
    <w:qFormat/>
    <w:pPr>
      <w:ind w:left="120"/>
    </w:pPr>
    <w:rPr>
      <w:rFonts w:ascii="宋体" w:hAnsi="宋体" w:eastAsia="宋体" w:cs="宋体"/>
      <w:sz w:val="21"/>
      <w:szCs w:val="21"/>
      <w:lang w:val="zh-CN" w:eastAsia="zh-CN" w:bidi="zh-CN"/>
    </w:rPr>
  </w:style>
  <w:style w:type="paragraph" w:styleId="1084">
    <w:name w:val="正文文本 211"/>
    <w:basedOn w:val="971"/>
    <w:next w:val="1084"/>
    <w:link w:val="971"/>
    <w:uiPriority w:val="99"/>
    <w:qFormat/>
    <w:pPr>
      <w:jc w:val="center"/>
    </w:pPr>
    <w:rPr>
      <w:b/>
      <w:bCs/>
      <w:sz w:val="20"/>
      <w:szCs w:val="20"/>
    </w:rPr>
  </w:style>
  <w:style w:type="paragraph" w:styleId="1085">
    <w:name w:val=" Char Char Char Char Char Char Char Char"/>
    <w:basedOn w:val="971"/>
    <w:next w:val="1085"/>
    <w:link w:val="971"/>
    <w:pPr>
      <w:jc w:val="left"/>
      <w:spacing w:after="160" w:line="240" w:lineRule="exact"/>
      <w:widowControl/>
    </w:pPr>
    <w:rPr>
      <w:rFonts w:ascii="Verdana" w:hAnsi="Verdana" w:eastAsia="宋体" w:cs="Times New Roman"/>
      <w:sz w:val="20"/>
      <w:szCs w:val="20"/>
      <w:lang w:eastAsia="en-US"/>
    </w:rPr>
  </w:style>
  <w:style w:type="paragraph" w:styleId="1086">
    <w:name w:val="图标"/>
    <w:basedOn w:val="971"/>
    <w:next w:val="971"/>
    <w:link w:val="9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7">
    <w:name w:val=" Char"/>
    <w:basedOn w:val="998"/>
    <w:next w:val="1087"/>
    <w:link w:val="971"/>
    <w:rPr>
      <w:rFonts w:ascii="Tahoma" w:hAnsi="Tahoma"/>
      <w:sz w:val="24"/>
      <w:szCs w:val="24"/>
    </w:rPr>
  </w:style>
  <w:style w:type="paragraph" w:styleId="1088">
    <w:name w:val="普通 (Web)"/>
    <w:basedOn w:val="971"/>
    <w:next w:val="1088"/>
    <w:link w:val="971"/>
    <w:pPr>
      <w:jc w:val="left"/>
      <w:spacing w:before="100" w:beforeAutospacing="1" w:after="100" w:afterAutospacing="1"/>
      <w:widowControl/>
    </w:pPr>
    <w:rPr>
      <w:rFonts w:ascii="宋体" w:hAnsi="宋体" w:eastAsia="宋体" w:cs="Times New Roman"/>
      <w:sz w:val="24"/>
      <w:szCs w:val="24"/>
    </w:rPr>
  </w:style>
  <w:style w:type="paragraph" w:styleId="1089">
    <w:name w:val="Char Char Char Char"/>
    <w:basedOn w:val="998"/>
    <w:next w:val="1089"/>
    <w:link w:val="971"/>
    <w:pPr>
      <w:spacing w:line="360" w:lineRule="auto"/>
    </w:pPr>
    <w:rPr>
      <w:rFonts w:ascii="Tahoma" w:hAnsi="Tahoma"/>
      <w:sz w:val="24"/>
      <w:szCs w:val="24"/>
    </w:rPr>
  </w:style>
  <w:style w:type="paragraph" w:styleId="1090">
    <w:name w:val="4"/>
    <w:basedOn w:val="971"/>
    <w:next w:val="1030"/>
    <w:link w:val="971"/>
    <w:pPr>
      <w:ind w:firstLine="420"/>
      <w:spacing w:line="360" w:lineRule="auto"/>
    </w:pPr>
    <w:rPr>
      <w:rFonts w:ascii="Times New Roman" w:hAnsi="Times New Roman" w:eastAsia="宋体" w:cs="Times New Roman"/>
      <w:color w:val="ff0000"/>
      <w:sz w:val="24"/>
      <w:szCs w:val="24"/>
    </w:rPr>
  </w:style>
  <w:style w:type="paragraph" w:styleId="1091">
    <w:name w:val="xl28"/>
    <w:basedOn w:val="971"/>
    <w:next w:val="1091"/>
    <w:link w:val="9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2">
    <w:name w:val="样式1"/>
    <w:basedOn w:val="971"/>
    <w:next w:val="1092"/>
    <w:link w:val="971"/>
    <w:pPr>
      <w:numPr>
        <w:ilvl w:val="0"/>
        <w:numId w:val="3"/>
      </w:numPr>
      <w:tabs>
        <w:tab w:val="left" w:pos="709" w:leader="none"/>
      </w:tabs>
    </w:pPr>
    <w:rPr>
      <w:rFonts w:ascii="宋体" w:hAnsi="宋体" w:eastAsia="宋体" w:cs="Times New Roman"/>
      <w:szCs w:val="21"/>
    </w:rPr>
  </w:style>
  <w:style w:type="paragraph" w:styleId="1093">
    <w:name w:val="Table Text"/>
    <w:basedOn w:val="971"/>
    <w:next w:val="1093"/>
    <w:link w:val="971"/>
    <w:semiHidden/>
    <w:qFormat/>
    <w:pPr>
      <w:jc w:val="left"/>
      <w:widowControl/>
    </w:pPr>
    <w:rPr>
      <w:rFonts w:ascii="Arial" w:hAnsi="Arial" w:eastAsia="Arial" w:cs="Arial"/>
      <w:color w:val="000000"/>
      <w:szCs w:val="21"/>
      <w:lang w:eastAsia="en-US"/>
    </w:rPr>
  </w:style>
  <w:style w:type="paragraph" w:styleId="1094">
    <w:name w:val="索引 41"/>
    <w:basedOn w:val="971"/>
    <w:next w:val="971"/>
    <w:link w:val="971"/>
    <w:semiHidden/>
    <w:qFormat/>
    <w:pPr>
      <w:ind w:left="1260"/>
    </w:pPr>
    <w:rPr>
      <w:rFonts w:ascii="Calibri" w:hAnsi="Calibri" w:eastAsia="Calibri" w:cs="宋体"/>
      <w:sz w:val="20"/>
      <w:lang w:val="zh-CN"/>
    </w:rPr>
  </w:style>
  <w:style w:type="paragraph" w:styleId="1095">
    <w:name w:val="table_1stline"/>
    <w:basedOn w:val="971"/>
    <w:next w:val="1095"/>
    <w:link w:val="971"/>
    <w:pPr>
      <w:jc w:val="left"/>
      <w:spacing w:before="120"/>
      <w:widowControl/>
    </w:pPr>
    <w:rPr>
      <w:rFonts w:ascii="Times New Roman" w:hAnsi="Times New Roman" w:eastAsia="宋体" w:cs="Times New Roman"/>
      <w:bCs/>
      <w:sz w:val="20"/>
      <w:szCs w:val="20"/>
      <w:lang w:val="de-DE" w:eastAsia="de-DE"/>
    </w:rPr>
  </w:style>
  <w:style w:type="paragraph" w:styleId="1096">
    <w:name w:val="font6"/>
    <w:basedOn w:val="971"/>
    <w:next w:val="1096"/>
    <w:link w:val="971"/>
    <w:pPr>
      <w:jc w:val="left"/>
      <w:spacing w:before="100" w:beforeAutospacing="1" w:after="100" w:afterAutospacing="1"/>
      <w:widowControl/>
    </w:pPr>
    <w:rPr>
      <w:rFonts w:hint="eastAsia" w:ascii="宋体" w:hAnsi="宋体" w:eastAsia="宋体" w:cs="Times New Roman"/>
      <w:sz w:val="28"/>
      <w:szCs w:val="28"/>
      <w:u w:val="single"/>
    </w:rPr>
  </w:style>
  <w:style w:type="paragraph" w:styleId="1097">
    <w:name w:val="Char"/>
    <w:basedOn w:val="971"/>
    <w:next w:val="1097"/>
    <w:link w:val="971"/>
    <w:pPr>
      <w:ind w:firstLine="200"/>
      <w:tabs>
        <w:tab w:val="left" w:pos="360" w:leader="none"/>
      </w:tabs>
    </w:pPr>
    <w:rPr>
      <w:rFonts w:ascii="Times New Roman" w:hAnsi="Times New Roman" w:eastAsia="宋体" w:cs="Times New Roman"/>
      <w:sz w:val="28"/>
      <w:szCs w:val="30"/>
    </w:rPr>
  </w:style>
  <w:style w:type="paragraph" w:styleId="1098">
    <w:name w:val="Char Char Char Char Char Char Char Char"/>
    <w:basedOn w:val="971"/>
    <w:next w:val="1098"/>
    <w:link w:val="971"/>
    <w:pPr>
      <w:jc w:val="left"/>
      <w:spacing w:after="160" w:line="240" w:lineRule="exact"/>
      <w:widowControl/>
    </w:pPr>
    <w:rPr>
      <w:rFonts w:ascii="Verdana" w:hAnsi="Verdana" w:eastAsia="宋体" w:cs="Times New Roman"/>
      <w:sz w:val="20"/>
      <w:szCs w:val="20"/>
      <w:lang w:eastAsia="en-US"/>
    </w:rPr>
  </w:style>
  <w:style w:type="paragraph" w:styleId="1099">
    <w:name w:val="table_lines"/>
    <w:basedOn w:val="971"/>
    <w:next w:val="1099"/>
    <w:link w:val="971"/>
    <w:pPr>
      <w:jc w:val="left"/>
      <w:widowControl/>
    </w:pPr>
    <w:rPr>
      <w:rFonts w:ascii="Times New Roman" w:hAnsi="Times New Roman" w:eastAsia="宋体" w:cs="Times New Roman"/>
      <w:sz w:val="20"/>
      <w:szCs w:val="20"/>
      <w:lang w:val="de-DE" w:eastAsia="de-DE"/>
    </w:rPr>
  </w:style>
  <w:style w:type="paragraph" w:styleId="1100">
    <w:name w:val="标题1"/>
    <w:basedOn w:val="971"/>
    <w:next w:val="971"/>
    <w:link w:val="9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1">
    <w:name w:val="xl27"/>
    <w:basedOn w:val="971"/>
    <w:next w:val="1101"/>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2">
    <w:name w:val="纯文本1"/>
    <w:basedOn w:val="971"/>
    <w:next w:val="1102"/>
    <w:link w:val="971"/>
    <w:qFormat/>
    <w:rPr>
      <w:rFonts w:ascii="宋体" w:hAnsi="Courier New" w:cs="Courier New"/>
    </w:rPr>
  </w:style>
  <w:style w:type="paragraph" w:styleId="1103">
    <w:name w:val="普通正文"/>
    <w:basedOn w:val="971"/>
    <w:next w:val="1103"/>
    <w:link w:val="971"/>
    <w:pPr>
      <w:ind w:firstLine="480"/>
      <w:jc w:val="left"/>
      <w:spacing w:before="120" w:after="120" w:line="360" w:lineRule="auto"/>
    </w:pPr>
    <w:rPr>
      <w:rFonts w:ascii="Arial" w:hAnsi="Arial" w:eastAsia="宋体" w:cs="Times New Roman"/>
      <w:sz w:val="24"/>
      <w:szCs w:val="24"/>
    </w:rPr>
  </w:style>
  <w:style w:type="paragraph" w:styleId="1104">
    <w:name w:val="xl25"/>
    <w:basedOn w:val="971"/>
    <w:next w:val="1104"/>
    <w:link w:val="9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5">
    <w:name w:val="标题3"/>
    <w:basedOn w:val="971"/>
    <w:next w:val="971"/>
    <w:link w:val="971"/>
    <w:pPr>
      <w:ind w:firstLine="624"/>
      <w:spacing w:line="590" w:lineRule="atLeast"/>
    </w:pPr>
    <w:rPr>
      <w:rFonts w:ascii="方正黑体_GBK" w:hAnsi="Times New Roman" w:eastAsia="方正黑体_GBK" w:cs="Times New Roman"/>
      <w:sz w:val="32"/>
      <w:szCs w:val="32"/>
    </w:rPr>
  </w:style>
  <w:style w:type="paragraph" w:styleId="1106">
    <w:name w:val="列出段落"/>
    <w:basedOn w:val="971"/>
    <w:next w:val="1106"/>
    <w:link w:val="971"/>
    <w:qFormat/>
    <w:pPr>
      <w:contextualSpacing/>
      <w:ind w:left="720"/>
      <w:jc w:val="left"/>
      <w:widowControl/>
    </w:pPr>
    <w:rPr>
      <w:rFonts w:ascii="Calibri" w:hAnsi="Calibri" w:eastAsia="宋体" w:cs="Times New Roman"/>
      <w:sz w:val="24"/>
      <w:szCs w:val="24"/>
      <w:lang w:eastAsia="en-US" w:bidi="en-US"/>
    </w:rPr>
  </w:style>
  <w:style w:type="table" w:styleId="1107">
    <w:name w:val="普通表格1"/>
    <w:next w:val="1107"/>
    <w:link w:val="971"/>
    <w:uiPriority w:val="99"/>
    <w:unhideWhenUsed/>
    <w:qFormat/>
    <w:rPr>
      <w:lang w:val="en-US" w:eastAsia="zh-CN" w:bidi="ar-SA"/>
    </w:rPr>
    <w:tblPr/>
  </w:style>
  <w:style w:type="table" w:styleId="1108">
    <w:name w:val="Table Normal"/>
    <w:next w:val="1108"/>
    <w:link w:val="971"/>
    <w:qFormat/>
    <w:rPr>
      <w:lang w:val="en-US" w:eastAsia="zh-CN" w:bidi="ar-SA"/>
    </w:rPr>
    <w:tblPr/>
  </w:style>
  <w:style w:type="table" w:styleId="1109">
    <w:name w:val="网格型1"/>
    <w:basedOn w:val="1107"/>
    <w:next w:val="1109"/>
    <w:link w:val="971"/>
    <w:qFormat/>
    <w:pPr>
      <w:jc w:val="both"/>
      <w:widowControl w:val="off"/>
    </w:pPr>
    <w:tblPr/>
  </w:style>
  <w:style w:type="character" w:styleId="1110" w:default="1">
    <w:name w:val="Default Paragraph Font"/>
    <w:uiPriority w:val="1"/>
    <w:semiHidden/>
    <w:unhideWhenUsed/>
  </w:style>
  <w:style w:type="numbering" w:styleId="1111" w:default="1">
    <w:name w:val="No List"/>
    <w:uiPriority w:val="99"/>
    <w:semiHidden/>
    <w:unhideWhenUsed/>
  </w:style>
  <w:style w:type="table" w:styleId="1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5</cp:revision>
  <dcterms:created xsi:type="dcterms:W3CDTF">2023-03-27T15:28:00Z</dcterms:created>
  <dcterms:modified xsi:type="dcterms:W3CDTF">2025-12-10T03:52:28Z</dcterms:modified>
</cp:coreProperties>
</file>